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FB0CBE">
      <w:pPr>
        <w:pStyle w:val="Heading2"/>
        <w:spacing w:before="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54FFCF7B"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7143B8">
        <w:rPr>
          <w:rFonts w:ascii="Arial" w:hAnsi="Arial" w:cs="Arial"/>
          <w:szCs w:val="20"/>
        </w:rPr>
        <w:t>5</w:t>
      </w:r>
      <w:r w:rsidR="00154025">
        <w:rPr>
          <w:rFonts w:ascii="Arial" w:hAnsi="Arial" w:cs="Arial"/>
          <w:szCs w:val="20"/>
        </w:rPr>
        <w:t>685</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39E7D17D" w14:textId="518B38F0" w:rsidR="00AB7A89" w:rsidRPr="007143B8" w:rsidRDefault="00FB0CBE" w:rsidP="00AB7A89">
      <w:pPr>
        <w:ind w:left="142"/>
        <w:rPr>
          <w:rFonts w:ascii="Arial" w:hAnsi="Arial" w:cs="Arial"/>
          <w:szCs w:val="20"/>
        </w:rPr>
      </w:pPr>
      <w:r w:rsidRPr="00030CE7">
        <w:rPr>
          <w:rFonts w:ascii="Arial" w:hAnsi="Arial" w:cs="Arial"/>
          <w:szCs w:val="20"/>
        </w:rPr>
        <w:t xml:space="preserve">Please refer to </w:t>
      </w:r>
      <w:hyperlink r:id="rId8" w:history="1">
        <w:proofErr w:type="spellStart"/>
        <w:r w:rsidR="00154025">
          <w:rPr>
            <w:rStyle w:val="Hyperlink"/>
            <w:rFonts w:ascii="Arial" w:hAnsi="Arial" w:cs="Arial"/>
            <w:szCs w:val="20"/>
          </w:rPr>
          <w:t>MTeach</w:t>
        </w:r>
        <w:proofErr w:type="spellEnd"/>
        <w:r w:rsidR="00154025">
          <w:rPr>
            <w:rStyle w:val="Hyperlink"/>
            <w:rFonts w:ascii="Arial" w:hAnsi="Arial" w:cs="Arial"/>
            <w:szCs w:val="20"/>
          </w:rPr>
          <w:t>(Sec)</w:t>
        </w:r>
      </w:hyperlink>
      <w:r w:rsidRPr="00030CE7">
        <w:rPr>
          <w:rFonts w:ascii="Arial" w:hAnsi="Arial" w:cs="Arial"/>
          <w:szCs w:val="20"/>
        </w:rPr>
        <w:t xml:space="preserve"> </w:t>
      </w:r>
      <w:r w:rsidR="00AB7A89">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A50822">
        <w:tc>
          <w:tcPr>
            <w:tcW w:w="5097"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097"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A50822">
        <w:tc>
          <w:tcPr>
            <w:tcW w:w="5097" w:type="dxa"/>
          </w:tcPr>
          <w:p w14:paraId="00CD4DA3" w14:textId="589EA119" w:rsidR="00881A64" w:rsidRDefault="00881A64" w:rsidP="00881A64">
            <w:pPr>
              <w:pStyle w:val="BodyText"/>
              <w:spacing w:before="0" w:after="0" w:line="240" w:lineRule="auto"/>
            </w:pPr>
            <w:r>
              <w:t xml:space="preserve"> Degree (e.g. Bachelor’s Degree)</w:t>
            </w:r>
          </w:p>
        </w:tc>
        <w:tc>
          <w:tcPr>
            <w:tcW w:w="5097"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A50822">
        <w:tc>
          <w:tcPr>
            <w:tcW w:w="5097" w:type="dxa"/>
          </w:tcPr>
          <w:p w14:paraId="4AE6FF39" w14:textId="605818EC" w:rsidR="00881A64" w:rsidRDefault="00881A64" w:rsidP="00881A64">
            <w:pPr>
              <w:pStyle w:val="BodyText"/>
              <w:spacing w:before="0" w:after="0" w:line="240" w:lineRule="auto"/>
            </w:pPr>
            <w:r>
              <w:t xml:space="preserve"> Subject</w:t>
            </w:r>
          </w:p>
        </w:tc>
        <w:tc>
          <w:tcPr>
            <w:tcW w:w="5097" w:type="dxa"/>
          </w:tcPr>
          <w:p w14:paraId="1ADA193B" w14:textId="5E51A4FD" w:rsidR="00881A64" w:rsidRDefault="00881A64" w:rsidP="00881A64">
            <w:pPr>
              <w:pStyle w:val="BodyText"/>
              <w:spacing w:before="0" w:after="0" w:line="240" w:lineRule="auto"/>
            </w:pPr>
            <w:r>
              <w:t xml:space="preserve"> Course</w:t>
            </w:r>
          </w:p>
        </w:tc>
      </w:tr>
      <w:tr w:rsidR="00881A64" w14:paraId="3A9A69BE" w14:textId="77777777" w:rsidTr="00A50822">
        <w:tc>
          <w:tcPr>
            <w:tcW w:w="5097" w:type="dxa"/>
          </w:tcPr>
          <w:p w14:paraId="422D6F89" w14:textId="4CCF65FF" w:rsidR="00881A64" w:rsidRDefault="00881A64" w:rsidP="00881A64">
            <w:pPr>
              <w:pStyle w:val="BodyText"/>
              <w:spacing w:before="0" w:after="0" w:line="240" w:lineRule="auto"/>
            </w:pPr>
            <w:r>
              <w:t xml:space="preserve"> Term</w:t>
            </w:r>
          </w:p>
        </w:tc>
        <w:tc>
          <w:tcPr>
            <w:tcW w:w="5097"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A50822">
        <w:tc>
          <w:tcPr>
            <w:tcW w:w="5097" w:type="dxa"/>
          </w:tcPr>
          <w:p w14:paraId="50D77BC2" w14:textId="371ABEBD" w:rsidR="00881A64" w:rsidRDefault="00881A64" w:rsidP="00881A64">
            <w:pPr>
              <w:pStyle w:val="BodyText"/>
              <w:spacing w:before="0" w:after="0" w:line="240" w:lineRule="auto"/>
            </w:pPr>
            <w:r>
              <w:t xml:space="preserve"> Credits / Credit Points</w:t>
            </w:r>
          </w:p>
        </w:tc>
        <w:tc>
          <w:tcPr>
            <w:tcW w:w="5097"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764C0755" w14:textId="77777777" w:rsidR="00A50822" w:rsidRPr="00A50822" w:rsidRDefault="00A50822" w:rsidP="00FB0CBE">
      <w:pPr>
        <w:pStyle w:val="ListParagraph0"/>
        <w:numPr>
          <w:ilvl w:val="0"/>
          <w:numId w:val="29"/>
        </w:numPr>
        <w:spacing w:before="80" w:after="80" w:line="240" w:lineRule="auto"/>
        <w:ind w:left="714" w:hanging="357"/>
        <w:rPr>
          <w:szCs w:val="20"/>
        </w:rPr>
      </w:pPr>
      <w:r w:rsidRPr="00831C32">
        <w:rPr>
          <w:rFonts w:ascii="Arial" w:hAnsi="Arial" w:cs="Arial"/>
          <w:color w:val="2B1D37" w:themeColor="text1"/>
          <w:szCs w:val="20"/>
        </w:rPr>
        <w:t xml:space="preserve">Most UQ courses have a value of 2 units. </w:t>
      </w:r>
    </w:p>
    <w:p w14:paraId="682A0730" w14:textId="3020D304" w:rsidR="00803314" w:rsidRPr="00C73A1B" w:rsidRDefault="00803314" w:rsidP="00FB0CBE">
      <w:pPr>
        <w:pStyle w:val="ListParagraph0"/>
        <w:numPr>
          <w:ilvl w:val="0"/>
          <w:numId w:val="29"/>
        </w:numPr>
        <w:spacing w:before="80" w:after="80" w:line="240" w:lineRule="auto"/>
        <w:ind w:left="714" w:hanging="357"/>
        <w:rPr>
          <w:szCs w:val="20"/>
        </w:rPr>
      </w:pPr>
      <w:r w:rsidRPr="00C73A1B">
        <w:rPr>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5797982D" w:rsidR="00231C5B" w:rsidRPr="00815DE2" w:rsidRDefault="00164062" w:rsidP="00815DE2">
      <w:pPr>
        <w:pStyle w:val="Heading2"/>
        <w:spacing w:before="0" w:after="0"/>
        <w:rPr>
          <w:sz w:val="24"/>
          <w:szCs w:val="24"/>
        </w:rPr>
      </w:pPr>
      <w:r w:rsidRPr="00815DE2">
        <w:rPr>
          <w:sz w:val="24"/>
          <w:szCs w:val="24"/>
        </w:rPr>
        <w:t>Program Requirements</w:t>
      </w:r>
    </w:p>
    <w:p w14:paraId="67419A6F" w14:textId="77777777" w:rsidR="00CB654D" w:rsidRPr="00F420BD" w:rsidRDefault="00CB654D" w:rsidP="00CB654D">
      <w:pPr>
        <w:ind w:left="284"/>
        <w:rPr>
          <w:rFonts w:ascii="Arial" w:hAnsi="Arial" w:cs="Arial"/>
          <w:sz w:val="16"/>
          <w:szCs w:val="16"/>
        </w:rPr>
      </w:pPr>
    </w:p>
    <w:p w14:paraId="0D29DAD0" w14:textId="0C87919B"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proofErr w:type="spellStart"/>
      <w:r w:rsidR="00D04F7D" w:rsidRPr="00D04F7D">
        <w:rPr>
          <w:rFonts w:ascii="Arial" w:hAnsi="Arial" w:cs="Arial"/>
          <w:szCs w:val="20"/>
        </w:rPr>
        <w:t>MTeach</w:t>
      </w:r>
      <w:proofErr w:type="spellEnd"/>
      <w:r w:rsidR="00D04F7D" w:rsidRPr="00D04F7D">
        <w:rPr>
          <w:rFonts w:ascii="Arial" w:hAnsi="Arial" w:cs="Arial"/>
          <w:szCs w:val="20"/>
        </w:rPr>
        <w:t>(</w:t>
      </w:r>
      <w:r w:rsidR="00B50B8E">
        <w:rPr>
          <w:rFonts w:ascii="Arial" w:hAnsi="Arial" w:cs="Arial"/>
          <w:szCs w:val="20"/>
        </w:rPr>
        <w:t>Sec</w:t>
      </w:r>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755EAB2B" w14:textId="57FE8C66" w:rsidR="003B6429" w:rsidRDefault="003B6429" w:rsidP="003B6429">
      <w:pPr>
        <w:pStyle w:val="BodyText"/>
        <w:numPr>
          <w:ilvl w:val="0"/>
          <w:numId w:val="25"/>
        </w:numPr>
        <w:spacing w:before="80" w:after="80"/>
      </w:pPr>
      <w:r>
        <w:t xml:space="preserve">24 units for all </w:t>
      </w:r>
      <w:proofErr w:type="spellStart"/>
      <w:r>
        <w:t>MTeach</w:t>
      </w:r>
      <w:proofErr w:type="spellEnd"/>
      <w:r>
        <w:t>(Sec) Core Courses, and</w:t>
      </w:r>
    </w:p>
    <w:p w14:paraId="4BD978D9" w14:textId="77777777" w:rsidR="003B6429" w:rsidRDefault="003B6429" w:rsidP="003B6429">
      <w:pPr>
        <w:pStyle w:val="BodyText"/>
        <w:numPr>
          <w:ilvl w:val="0"/>
          <w:numId w:val="25"/>
        </w:numPr>
        <w:spacing w:before="80" w:after="80"/>
      </w:pPr>
      <w:r>
        <w:t xml:space="preserve">4 to 8 units from </w:t>
      </w:r>
      <w:proofErr w:type="spellStart"/>
      <w:r>
        <w:t>MTeach</w:t>
      </w:r>
      <w:proofErr w:type="spellEnd"/>
      <w:r>
        <w:t>(Sec) Curriculum Studies Courses, and</w:t>
      </w:r>
    </w:p>
    <w:p w14:paraId="49D4C906" w14:textId="70FDE9C8" w:rsidR="002B3429" w:rsidRDefault="003B6429" w:rsidP="003B6429">
      <w:pPr>
        <w:pStyle w:val="BodyText"/>
        <w:numPr>
          <w:ilvl w:val="0"/>
          <w:numId w:val="25"/>
        </w:numPr>
        <w:spacing w:before="80" w:after="80"/>
      </w:pPr>
      <w:r>
        <w:t xml:space="preserve">0 to 4 units from </w:t>
      </w:r>
      <w:proofErr w:type="spellStart"/>
      <w:r>
        <w:t>MTeach</w:t>
      </w:r>
      <w:proofErr w:type="spellEnd"/>
      <w:r>
        <w:t>(Sec) Specialist Curriculum Studies Courses</w:t>
      </w:r>
    </w:p>
    <w:p w14:paraId="1C5D49D4" w14:textId="77777777" w:rsidR="003B6429" w:rsidRDefault="003B6429" w:rsidP="003B6429">
      <w:pPr>
        <w:pStyle w:val="BodyText"/>
        <w:spacing w:before="80" w:after="80"/>
        <w:ind w:left="720"/>
      </w:pPr>
    </w:p>
    <w:p w14:paraId="1F45245B" w14:textId="77777777" w:rsidR="00A50822" w:rsidRPr="00815DE2" w:rsidRDefault="00A50822" w:rsidP="00A50822">
      <w:pPr>
        <w:pStyle w:val="Heading2"/>
        <w:spacing w:before="0" w:after="0"/>
        <w:rPr>
          <w:sz w:val="24"/>
          <w:szCs w:val="24"/>
        </w:rPr>
      </w:pPr>
      <w:r>
        <w:rPr>
          <w:sz w:val="24"/>
          <w:szCs w:val="24"/>
        </w:rPr>
        <w:t xml:space="preserve">Additional Rules </w:t>
      </w:r>
    </w:p>
    <w:p w14:paraId="3A9079D2" w14:textId="77777777" w:rsidR="00A50822" w:rsidRDefault="00A50822" w:rsidP="00A50822">
      <w:pPr>
        <w:pStyle w:val="BodyText"/>
        <w:spacing w:before="0" w:after="0" w:line="240" w:lineRule="auto"/>
      </w:pPr>
    </w:p>
    <w:p w14:paraId="539E410F" w14:textId="44426C44" w:rsidR="00A50822" w:rsidRDefault="00A50822" w:rsidP="00A50822">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 xml:space="preserve">Your program has additional rules that you need to read carefully to make sure you meet your program requirements for graduation – </w:t>
      </w:r>
      <w:bookmarkEnd w:id="0"/>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6BDECB4B" w14:textId="77777777" w:rsidR="00965EDD" w:rsidRPr="00965EDD" w:rsidRDefault="00965EDD" w:rsidP="00965EDD">
      <w:pPr>
        <w:pStyle w:val="BodyText"/>
        <w:spacing w:before="80" w:after="80" w:line="240" w:lineRule="auto"/>
        <w:ind w:left="360"/>
        <w:rPr>
          <w:szCs w:val="20"/>
        </w:rPr>
      </w:pPr>
    </w:p>
    <w:p w14:paraId="2373CB4E" w14:textId="108050CD" w:rsidR="00EA0D21" w:rsidRPr="00815DE2" w:rsidRDefault="00EA0D21" w:rsidP="00815DE2">
      <w:pPr>
        <w:pStyle w:val="Heading2"/>
        <w:spacing w:before="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3AAFBA4A" w14:textId="1B2EB628" w:rsidR="00A01855" w:rsidRDefault="00965EDD" w:rsidP="00A01855">
      <w:pPr>
        <w:pStyle w:val="BodyText"/>
        <w:spacing w:before="0" w:after="0" w:line="240" w:lineRule="auto"/>
      </w:pPr>
      <w:r>
        <w:t>All c</w:t>
      </w:r>
      <w:r w:rsidR="00A01855" w:rsidRPr="00EA0D21">
        <w:t xml:space="preserve">ourses must be taken in sequence </w:t>
      </w:r>
      <w:r w:rsidR="00A01855">
        <w:t xml:space="preserve">and </w:t>
      </w:r>
      <w:r w:rsidR="00A01855" w:rsidRPr="00EA0D21">
        <w:t xml:space="preserve">are pre-filled. </w:t>
      </w:r>
      <w:r w:rsidR="008E16F0">
        <w:t xml:space="preserve">Curriculum studies courses are approved based on your approved teaching areas. Students can only enrol in the curriculum studies courses for which they are approved.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47770511" w14:textId="2DB0E30A" w:rsidR="00A50822" w:rsidRPr="00AA17DA" w:rsidRDefault="00A50822" w:rsidP="00A50822">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3C0A3AC3" w14:textId="77777777" w:rsidR="00A50822" w:rsidRDefault="00A50822" w:rsidP="00A50822">
      <w:pPr>
        <w:pStyle w:val="NormalWeb"/>
        <w:spacing w:before="0" w:beforeAutospacing="0" w:after="0" w:afterAutospacing="0"/>
        <w:rPr>
          <w:rFonts w:ascii="Arial" w:hAnsi="Arial" w:cs="Arial"/>
          <w:sz w:val="20"/>
          <w:szCs w:val="20"/>
        </w:rPr>
      </w:pPr>
      <w:r>
        <w:rPr>
          <w:rFonts w:ascii="Arial" w:hAnsi="Arial" w:cs="Arial"/>
          <w:sz w:val="20"/>
          <w:szCs w:val="20"/>
        </w:rPr>
        <w:t> </w:t>
      </w:r>
    </w:p>
    <w:p w14:paraId="6F7D1FA8" w14:textId="77777777" w:rsidR="00A50822" w:rsidRPr="00AA17DA" w:rsidRDefault="00A50822" w:rsidP="00A50822">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63444A88" w14:textId="74E00765" w:rsidR="00FA5054" w:rsidRDefault="00A50822"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4DEC37C5" w14:textId="28D23EEE"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Default="00FA5054" w:rsidP="00242398">
      <w:pPr>
        <w:pStyle w:val="BodyText"/>
        <w:spacing w:before="0" w:line="240" w:lineRule="auto"/>
      </w:pPr>
    </w:p>
    <w:p w14:paraId="7264012C" w14:textId="77777777" w:rsidR="00D94481" w:rsidRPr="00881A64" w:rsidRDefault="00D94481"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lastRenderedPageBreak/>
        <w:t xml:space="preserve">Further Assistance </w:t>
      </w:r>
    </w:p>
    <w:p w14:paraId="13F7780A" w14:textId="77777777" w:rsidR="009076D0" w:rsidRPr="00643AFF" w:rsidRDefault="009076D0" w:rsidP="00FA5054">
      <w:pPr>
        <w:rPr>
          <w:rFonts w:ascii="Arial" w:hAnsi="Arial" w:cs="Arial"/>
          <w:sz w:val="16"/>
          <w:szCs w:val="16"/>
        </w:rPr>
      </w:pPr>
    </w:p>
    <w:p w14:paraId="7F53CC40" w14:textId="77777777" w:rsidR="00A50822" w:rsidRPr="00030CE7" w:rsidRDefault="00A50822" w:rsidP="00A50822">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 xml:space="preserve">please contact: </w:t>
      </w:r>
    </w:p>
    <w:p w14:paraId="6A4AC97A" w14:textId="77777777" w:rsidR="00FA5054" w:rsidRPr="009076D0" w:rsidRDefault="00FA5054" w:rsidP="00FA5054">
      <w:pPr>
        <w:rPr>
          <w:rFonts w:ascii="Arial" w:hAnsi="Arial" w:cs="Arial"/>
          <w:sz w:val="8"/>
          <w:szCs w:val="8"/>
        </w:rPr>
      </w:pPr>
    </w:p>
    <w:p w14:paraId="38237C0C" w14:textId="77777777" w:rsidR="00566C1F" w:rsidRDefault="00566C1F" w:rsidP="00566C1F">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p>
    <w:p w14:paraId="445AAF34" w14:textId="7602CBF9" w:rsidR="00566C1F" w:rsidRDefault="00566C1F" w:rsidP="00566C1F">
      <w:pPr>
        <w:pStyle w:val="NormalWeb"/>
        <w:spacing w:before="40" w:beforeAutospacing="0" w:after="40" w:afterAutospacing="0"/>
        <w:ind w:left="284"/>
        <w:rPr>
          <w:rFonts w:ascii="Arial" w:hAnsi="Arial" w:cs="Arial"/>
          <w:sz w:val="20"/>
          <w:szCs w:val="20"/>
        </w:rPr>
      </w:pP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6600255F" w14:textId="77777777" w:rsidR="00566C1F" w:rsidRDefault="00566C1F" w:rsidP="00566C1F">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7E2752D5" w14:textId="77777777" w:rsidR="0050399C" w:rsidRPr="006C1BFD" w:rsidRDefault="0050399C" w:rsidP="00EF21F4">
      <w:pPr>
        <w:pStyle w:val="Heading2"/>
        <w:spacing w:before="0"/>
        <w:rPr>
          <w:rFonts w:ascii="Arial" w:hAnsi="Arial" w:cs="Arial"/>
          <w:bCs/>
          <w:color w:val="51247A"/>
          <w:sz w:val="22"/>
          <w:szCs w:val="22"/>
        </w:rPr>
      </w:pPr>
    </w:p>
    <w:p w14:paraId="45A1A878" w14:textId="77777777" w:rsidR="0050399C" w:rsidRPr="004A63CC" w:rsidRDefault="0050399C" w:rsidP="0050399C">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Semester 1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50"/>
        <w:gridCol w:w="2835"/>
        <w:gridCol w:w="851"/>
      </w:tblGrid>
      <w:tr w:rsidR="009F6F35" w:rsidRPr="0003026B" w14:paraId="1A297D9A" w14:textId="77777777" w:rsidTr="009F6F35">
        <w:trPr>
          <w:trHeight w:val="142"/>
        </w:trPr>
        <w:tc>
          <w:tcPr>
            <w:tcW w:w="10060" w:type="dxa"/>
            <w:gridSpan w:val="4"/>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9F6F35">
        <w:trPr>
          <w:trHeight w:val="142"/>
        </w:trPr>
        <w:tc>
          <w:tcPr>
            <w:tcW w:w="10060" w:type="dxa"/>
            <w:gridSpan w:val="4"/>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5D7A5A" w:rsidRPr="007457E6" w14:paraId="7097D575" w14:textId="77777777" w:rsidTr="00E2589F">
        <w:trPr>
          <w:trHeight w:val="142"/>
        </w:trPr>
        <w:tc>
          <w:tcPr>
            <w:tcW w:w="5524" w:type="dxa"/>
            <w:tcBorders>
              <w:bottom w:val="single" w:sz="4" w:space="0" w:color="auto"/>
              <w:right w:val="nil"/>
            </w:tcBorders>
            <w:tcMar>
              <w:top w:w="57" w:type="dxa"/>
              <w:left w:w="57" w:type="dxa"/>
              <w:bottom w:w="57" w:type="dxa"/>
              <w:right w:w="57" w:type="dxa"/>
            </w:tcMar>
          </w:tcPr>
          <w:p w14:paraId="44C438AA" w14:textId="105AC932" w:rsidR="005D7A5A" w:rsidRPr="00BE72FF" w:rsidRDefault="003F1555" w:rsidP="00BE72FF">
            <w:pPr>
              <w:ind w:left="1358" w:hanging="1358"/>
              <w:rPr>
                <w:b/>
                <w:bCs/>
              </w:rPr>
            </w:pPr>
            <w:r w:rsidRPr="00BE72FF">
              <w:rPr>
                <w:b/>
              </w:rPr>
              <w:t>EDUC7</w:t>
            </w:r>
            <w:r w:rsidR="0072606A" w:rsidRPr="00BE72FF">
              <w:rPr>
                <w:b/>
              </w:rPr>
              <w:t>600</w:t>
            </w:r>
            <w:r w:rsidR="005D7A5A" w:rsidRPr="00BE72FF">
              <w:rPr>
                <w:b/>
              </w:rPr>
              <w:tab/>
            </w:r>
            <w:r w:rsidR="003E5F21" w:rsidRPr="00BE72FF">
              <w:rPr>
                <w:sz w:val="18"/>
                <w:szCs w:val="18"/>
              </w:rPr>
              <w:t>Global Issues and Social Justice</w:t>
            </w:r>
          </w:p>
        </w:tc>
        <w:tc>
          <w:tcPr>
            <w:tcW w:w="850" w:type="dxa"/>
            <w:tcBorders>
              <w:left w:val="nil"/>
              <w:bottom w:val="single" w:sz="4" w:space="0" w:color="auto"/>
            </w:tcBorders>
          </w:tcPr>
          <w:p w14:paraId="36BEA2AE" w14:textId="3D9D3175" w:rsidR="005D7A5A" w:rsidRPr="007457E6" w:rsidRDefault="005D7A5A" w:rsidP="005D7A5A">
            <w:pPr>
              <w:ind w:left="57"/>
              <w:rPr>
                <w:bCs/>
              </w:rPr>
            </w:pPr>
            <w:r>
              <w:rPr>
                <w:bCs/>
              </w:rPr>
              <w:t>2 units</w:t>
            </w:r>
          </w:p>
        </w:tc>
        <w:tc>
          <w:tcPr>
            <w:tcW w:w="2835" w:type="dxa"/>
            <w:tcBorders>
              <w:bottom w:val="single" w:sz="4" w:space="0" w:color="auto"/>
              <w:right w:val="single" w:sz="4" w:space="0" w:color="auto"/>
            </w:tcBorders>
          </w:tcPr>
          <w:p w14:paraId="4A73CDA5" w14:textId="1A105E73" w:rsidR="005D7A5A" w:rsidRPr="009F6F35" w:rsidRDefault="003F1555" w:rsidP="005D7A5A">
            <w:pPr>
              <w:ind w:left="57"/>
              <w:rPr>
                <w:bCs/>
                <w:color w:val="3A332E" w:themeColor="background2" w:themeShade="40"/>
              </w:rPr>
            </w:pPr>
            <w:r w:rsidRPr="003F1555">
              <w:rPr>
                <w:bCs/>
                <w:color w:val="3A332E" w:themeColor="background2" w:themeShade="40"/>
              </w:rPr>
              <w:t>EDUC7</w:t>
            </w:r>
            <w:r w:rsidR="0072606A">
              <w:rPr>
                <w:bCs/>
                <w:color w:val="3A332E" w:themeColor="background2" w:themeShade="40"/>
              </w:rPr>
              <w:t>600</w:t>
            </w:r>
          </w:p>
        </w:tc>
        <w:tc>
          <w:tcPr>
            <w:tcW w:w="851" w:type="dxa"/>
            <w:tcBorders>
              <w:left w:val="single" w:sz="4" w:space="0" w:color="auto"/>
              <w:bottom w:val="single" w:sz="4" w:space="0" w:color="auto"/>
            </w:tcBorders>
          </w:tcPr>
          <w:p w14:paraId="57A50403" w14:textId="7353BFA1" w:rsidR="005D7A5A" w:rsidRPr="009F6F35" w:rsidRDefault="005D7A5A" w:rsidP="005D7A5A">
            <w:pPr>
              <w:ind w:left="57"/>
              <w:rPr>
                <w:bCs/>
                <w:color w:val="3A332E" w:themeColor="background2" w:themeShade="40"/>
              </w:rPr>
            </w:pPr>
            <w:r>
              <w:rPr>
                <w:bCs/>
                <w:color w:val="3A332E" w:themeColor="background2" w:themeShade="40"/>
              </w:rPr>
              <w:t>2 units</w:t>
            </w:r>
          </w:p>
        </w:tc>
      </w:tr>
      <w:tr w:rsidR="00581765" w:rsidRPr="007457E6" w14:paraId="18BFF5B5" w14:textId="77777777" w:rsidTr="00AC6742">
        <w:trPr>
          <w:trHeight w:val="142"/>
        </w:trPr>
        <w:tc>
          <w:tcPr>
            <w:tcW w:w="5524" w:type="dxa"/>
            <w:tcBorders>
              <w:bottom w:val="nil"/>
              <w:right w:val="nil"/>
            </w:tcBorders>
            <w:tcMar>
              <w:top w:w="57" w:type="dxa"/>
              <w:left w:w="57" w:type="dxa"/>
              <w:bottom w:w="57" w:type="dxa"/>
              <w:right w:w="57" w:type="dxa"/>
            </w:tcMar>
          </w:tcPr>
          <w:p w14:paraId="0BE4D8B3" w14:textId="6C8E3797" w:rsidR="00581765" w:rsidRPr="00BE72FF" w:rsidRDefault="00625EF8" w:rsidP="00BE72FF">
            <w:pPr>
              <w:ind w:left="1358" w:hanging="1358"/>
              <w:rPr>
                <w:bCs/>
              </w:rPr>
            </w:pPr>
            <w:r w:rsidRPr="00BE72FF">
              <w:rPr>
                <w:b/>
              </w:rPr>
              <w:t>EDUC7630</w:t>
            </w:r>
            <w:r w:rsidR="00581765" w:rsidRPr="00BE72FF">
              <w:rPr>
                <w:b/>
              </w:rPr>
              <w:tab/>
            </w:r>
            <w:r w:rsidR="003E5F21" w:rsidRPr="00BE72FF">
              <w:rPr>
                <w:bCs/>
                <w:sz w:val="18"/>
                <w:szCs w:val="18"/>
              </w:rPr>
              <w:t>Literacy and Numeracy Across the Curriculum</w:t>
            </w:r>
          </w:p>
        </w:tc>
        <w:tc>
          <w:tcPr>
            <w:tcW w:w="850" w:type="dxa"/>
            <w:tcBorders>
              <w:left w:val="nil"/>
              <w:bottom w:val="nil"/>
            </w:tcBorders>
          </w:tcPr>
          <w:p w14:paraId="655A13C8" w14:textId="4D45469E" w:rsidR="00581765" w:rsidRPr="007457E6" w:rsidRDefault="00581765" w:rsidP="00876805">
            <w:pPr>
              <w:ind w:left="57"/>
              <w:rPr>
                <w:bCs/>
              </w:rPr>
            </w:pPr>
            <w:r>
              <w:rPr>
                <w:bCs/>
              </w:rPr>
              <w:t>2 units</w:t>
            </w:r>
          </w:p>
        </w:tc>
        <w:tc>
          <w:tcPr>
            <w:tcW w:w="2835" w:type="dxa"/>
            <w:tcBorders>
              <w:right w:val="single" w:sz="4" w:space="0" w:color="auto"/>
            </w:tcBorders>
          </w:tcPr>
          <w:p w14:paraId="4BB5C7CE" w14:textId="156C5C05" w:rsidR="00581765" w:rsidRPr="009F6F35" w:rsidRDefault="00581765" w:rsidP="00876805">
            <w:pPr>
              <w:ind w:left="57"/>
              <w:rPr>
                <w:bCs/>
                <w:color w:val="3A332E" w:themeColor="background2" w:themeShade="40"/>
              </w:rPr>
            </w:pPr>
            <w:r w:rsidRPr="003F1555">
              <w:rPr>
                <w:bCs/>
                <w:color w:val="3A332E" w:themeColor="background2" w:themeShade="40"/>
              </w:rPr>
              <w:t>EDUC7</w:t>
            </w:r>
            <w:r>
              <w:rPr>
                <w:bCs/>
                <w:color w:val="3A332E" w:themeColor="background2" w:themeShade="40"/>
              </w:rPr>
              <w:t>6</w:t>
            </w:r>
            <w:r w:rsidR="00625EF8">
              <w:rPr>
                <w:bCs/>
                <w:color w:val="3A332E" w:themeColor="background2" w:themeShade="40"/>
              </w:rPr>
              <w:t>30</w:t>
            </w:r>
          </w:p>
        </w:tc>
        <w:tc>
          <w:tcPr>
            <w:tcW w:w="851" w:type="dxa"/>
            <w:tcBorders>
              <w:left w:val="single" w:sz="4" w:space="0" w:color="auto"/>
            </w:tcBorders>
          </w:tcPr>
          <w:p w14:paraId="17BF161C" w14:textId="71006E17" w:rsidR="00581765" w:rsidRPr="009F6F35" w:rsidRDefault="00581765" w:rsidP="00876805">
            <w:pPr>
              <w:ind w:left="57"/>
              <w:rPr>
                <w:bCs/>
                <w:color w:val="3A332E" w:themeColor="background2" w:themeShade="40"/>
              </w:rPr>
            </w:pPr>
            <w:r>
              <w:rPr>
                <w:bCs/>
                <w:color w:val="3A332E" w:themeColor="background2" w:themeShade="40"/>
              </w:rPr>
              <w:t>2 units</w:t>
            </w:r>
          </w:p>
        </w:tc>
      </w:tr>
      <w:tr w:rsidR="0072606A" w:rsidRPr="007457E6" w14:paraId="3B489A23" w14:textId="77777777" w:rsidTr="00E2589F">
        <w:trPr>
          <w:trHeight w:val="142"/>
        </w:trPr>
        <w:tc>
          <w:tcPr>
            <w:tcW w:w="5524" w:type="dxa"/>
            <w:tcBorders>
              <w:right w:val="nil"/>
            </w:tcBorders>
            <w:tcMar>
              <w:top w:w="57" w:type="dxa"/>
              <w:left w:w="57" w:type="dxa"/>
              <w:bottom w:w="57" w:type="dxa"/>
              <w:right w:w="57" w:type="dxa"/>
            </w:tcMar>
          </w:tcPr>
          <w:p w14:paraId="1741E9D0" w14:textId="71076903" w:rsidR="0072606A" w:rsidRPr="00BE72FF" w:rsidRDefault="00625EF8" w:rsidP="00BE72FF">
            <w:pPr>
              <w:ind w:left="1358" w:hanging="1358"/>
              <w:rPr>
                <w:bCs/>
              </w:rPr>
            </w:pPr>
            <w:r w:rsidRPr="00BE72FF">
              <w:rPr>
                <w:b/>
              </w:rPr>
              <w:t>EDUC7770</w:t>
            </w:r>
            <w:r w:rsidR="0072606A" w:rsidRPr="00BE72FF">
              <w:rPr>
                <w:b/>
              </w:rPr>
              <w:tab/>
            </w:r>
            <w:r w:rsidR="003E5F21" w:rsidRPr="00BE72FF">
              <w:rPr>
                <w:bCs/>
                <w:sz w:val="18"/>
                <w:szCs w:val="18"/>
              </w:rPr>
              <w:t>Supporting Student Behaviour and Wellbeing</w:t>
            </w:r>
          </w:p>
        </w:tc>
        <w:tc>
          <w:tcPr>
            <w:tcW w:w="850" w:type="dxa"/>
            <w:tcBorders>
              <w:left w:val="nil"/>
            </w:tcBorders>
          </w:tcPr>
          <w:p w14:paraId="56B387DC" w14:textId="79255555" w:rsidR="0072606A" w:rsidRPr="007457E6" w:rsidRDefault="0072606A" w:rsidP="0072606A">
            <w:pPr>
              <w:ind w:left="57"/>
              <w:rPr>
                <w:bCs/>
              </w:rPr>
            </w:pPr>
            <w:r>
              <w:rPr>
                <w:bCs/>
              </w:rPr>
              <w:t>2 units</w:t>
            </w:r>
          </w:p>
        </w:tc>
        <w:tc>
          <w:tcPr>
            <w:tcW w:w="2835" w:type="dxa"/>
            <w:tcBorders>
              <w:right w:val="single" w:sz="4" w:space="0" w:color="auto"/>
            </w:tcBorders>
          </w:tcPr>
          <w:p w14:paraId="406FDEB6" w14:textId="0E4F2CBF" w:rsidR="0072606A" w:rsidRPr="009F6F35" w:rsidRDefault="0072606A" w:rsidP="0072606A">
            <w:pPr>
              <w:ind w:left="57"/>
              <w:rPr>
                <w:bCs/>
                <w:color w:val="3A332E" w:themeColor="background2" w:themeShade="40"/>
              </w:rPr>
            </w:pPr>
            <w:r w:rsidRPr="003F1555">
              <w:rPr>
                <w:bCs/>
                <w:color w:val="3A332E" w:themeColor="background2" w:themeShade="40"/>
              </w:rPr>
              <w:t>EDUC7</w:t>
            </w:r>
            <w:r w:rsidR="00625EF8">
              <w:rPr>
                <w:bCs/>
                <w:color w:val="3A332E" w:themeColor="background2" w:themeShade="40"/>
              </w:rPr>
              <w:t>770</w:t>
            </w:r>
          </w:p>
        </w:tc>
        <w:tc>
          <w:tcPr>
            <w:tcW w:w="851" w:type="dxa"/>
            <w:tcBorders>
              <w:left w:val="single" w:sz="4" w:space="0" w:color="auto"/>
            </w:tcBorders>
          </w:tcPr>
          <w:p w14:paraId="1EBFB327" w14:textId="5E070345" w:rsidR="0072606A" w:rsidRPr="009F6F35" w:rsidRDefault="0072606A" w:rsidP="0072606A">
            <w:pPr>
              <w:ind w:left="57"/>
              <w:rPr>
                <w:bCs/>
                <w:color w:val="3A332E" w:themeColor="background2" w:themeShade="40"/>
              </w:rPr>
            </w:pPr>
            <w:r>
              <w:rPr>
                <w:bCs/>
                <w:color w:val="3A332E" w:themeColor="background2" w:themeShade="40"/>
              </w:rPr>
              <w:t>2 units</w:t>
            </w:r>
          </w:p>
        </w:tc>
      </w:tr>
      <w:tr w:rsidR="0072606A" w:rsidRPr="007457E6" w14:paraId="302FCA15" w14:textId="77777777" w:rsidTr="00E2589F">
        <w:trPr>
          <w:trHeight w:val="142"/>
        </w:trPr>
        <w:tc>
          <w:tcPr>
            <w:tcW w:w="5524" w:type="dxa"/>
            <w:tcBorders>
              <w:right w:val="nil"/>
            </w:tcBorders>
            <w:tcMar>
              <w:top w:w="57" w:type="dxa"/>
              <w:left w:w="57" w:type="dxa"/>
              <w:bottom w:w="57" w:type="dxa"/>
              <w:right w:w="57" w:type="dxa"/>
            </w:tcMar>
          </w:tcPr>
          <w:p w14:paraId="2BAFDE7E" w14:textId="7874448B" w:rsidR="0072606A" w:rsidRPr="00BE72FF" w:rsidRDefault="0072606A" w:rsidP="00BE72FF">
            <w:pPr>
              <w:ind w:left="1358" w:hanging="1358"/>
              <w:rPr>
                <w:bCs/>
              </w:rPr>
            </w:pPr>
            <w:r w:rsidRPr="00BE72FF">
              <w:rPr>
                <w:b/>
              </w:rPr>
              <w:t>EDUC7603</w:t>
            </w:r>
            <w:r w:rsidRPr="00BE72FF">
              <w:rPr>
                <w:bCs/>
              </w:rPr>
              <w:tab/>
            </w:r>
            <w:r w:rsidR="003E5F21" w:rsidRPr="00BE72FF">
              <w:rPr>
                <w:bCs/>
                <w:sz w:val="18"/>
                <w:szCs w:val="18"/>
              </w:rPr>
              <w:t xml:space="preserve">Contemporary Theories of Development and   </w:t>
            </w:r>
            <w:r w:rsidR="00BE72FF">
              <w:rPr>
                <w:bCs/>
                <w:sz w:val="18"/>
                <w:szCs w:val="18"/>
              </w:rPr>
              <w:t xml:space="preserve">  </w:t>
            </w:r>
            <w:r w:rsidR="003E5F21" w:rsidRPr="00BE72FF">
              <w:rPr>
                <w:bCs/>
                <w:sz w:val="18"/>
                <w:szCs w:val="18"/>
              </w:rPr>
              <w:t>Learning</w:t>
            </w:r>
          </w:p>
        </w:tc>
        <w:tc>
          <w:tcPr>
            <w:tcW w:w="850" w:type="dxa"/>
            <w:tcBorders>
              <w:left w:val="nil"/>
            </w:tcBorders>
          </w:tcPr>
          <w:p w14:paraId="14F7552D" w14:textId="77777777" w:rsidR="0072606A" w:rsidRPr="007457E6" w:rsidRDefault="0072606A" w:rsidP="0072606A">
            <w:pPr>
              <w:ind w:left="57"/>
              <w:rPr>
                <w:bCs/>
              </w:rPr>
            </w:pPr>
            <w:r w:rsidRPr="007457E6">
              <w:rPr>
                <w:bCs/>
              </w:rPr>
              <w:t>2 units</w:t>
            </w:r>
          </w:p>
        </w:tc>
        <w:tc>
          <w:tcPr>
            <w:tcW w:w="2835" w:type="dxa"/>
            <w:tcBorders>
              <w:right w:val="single" w:sz="4" w:space="0" w:color="auto"/>
            </w:tcBorders>
          </w:tcPr>
          <w:p w14:paraId="6F8B6B2C" w14:textId="56FB7FF7" w:rsidR="0072606A" w:rsidRPr="009F6F35" w:rsidRDefault="0072606A" w:rsidP="0072606A">
            <w:pPr>
              <w:ind w:left="57"/>
              <w:rPr>
                <w:bCs/>
                <w:color w:val="3A332E" w:themeColor="background2" w:themeShade="40"/>
              </w:rPr>
            </w:pPr>
            <w:r w:rsidRPr="003F1555">
              <w:rPr>
                <w:bCs/>
                <w:color w:val="3A332E" w:themeColor="background2" w:themeShade="40"/>
              </w:rPr>
              <w:t>EDUC7603</w:t>
            </w:r>
          </w:p>
        </w:tc>
        <w:tc>
          <w:tcPr>
            <w:tcW w:w="851" w:type="dxa"/>
            <w:tcBorders>
              <w:left w:val="single" w:sz="4" w:space="0" w:color="auto"/>
            </w:tcBorders>
          </w:tcPr>
          <w:p w14:paraId="529B704B" w14:textId="77777777"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72606A" w:rsidRPr="007457E6" w14:paraId="3DB3D724" w14:textId="77777777" w:rsidTr="009F6F35">
        <w:trPr>
          <w:trHeight w:val="142"/>
        </w:trPr>
        <w:tc>
          <w:tcPr>
            <w:tcW w:w="10060" w:type="dxa"/>
            <w:gridSpan w:val="4"/>
            <w:shd w:val="clear" w:color="auto" w:fill="EAE9E8" w:themeFill="text2" w:themeFillTint="33"/>
            <w:tcMar>
              <w:top w:w="57" w:type="dxa"/>
              <w:left w:w="57" w:type="dxa"/>
              <w:bottom w:w="57" w:type="dxa"/>
              <w:right w:w="57" w:type="dxa"/>
            </w:tcMar>
          </w:tcPr>
          <w:p w14:paraId="23BDA6C7" w14:textId="42A5128A" w:rsidR="0072606A" w:rsidRPr="00625EF8" w:rsidRDefault="0072606A" w:rsidP="0072606A">
            <w:pPr>
              <w:ind w:left="57"/>
              <w:rPr>
                <w:b/>
                <w:bCs/>
              </w:rPr>
            </w:pPr>
            <w:r w:rsidRPr="00625EF8">
              <w:t>2</w:t>
            </w:r>
            <w:r w:rsidRPr="00625EF8">
              <w:rPr>
                <w:vertAlign w:val="superscript"/>
              </w:rPr>
              <w:t>nd</w:t>
            </w:r>
            <w:r w:rsidRPr="00625EF8">
              <w:t xml:space="preserve"> Semester</w:t>
            </w:r>
            <w:r w:rsidRPr="00625EF8">
              <w:rPr>
                <w:b/>
                <w:bCs/>
              </w:rPr>
              <w:t xml:space="preserve"> </w:t>
            </w:r>
            <w:r w:rsidRPr="00625EF8">
              <w:rPr>
                <w:i/>
                <w:iCs/>
                <w:sz w:val="18"/>
                <w:szCs w:val="18"/>
              </w:rPr>
              <w:t>(</w:t>
            </w:r>
            <w:r w:rsidRPr="00625EF8">
              <w:rPr>
                <w:rFonts w:ascii="Arial" w:hAnsi="Arial" w:cs="Arial"/>
                <w:i/>
                <w:iCs/>
                <w:sz w:val="18"/>
                <w:szCs w:val="18"/>
              </w:rPr>
              <w:t>Jul – Nov</w:t>
            </w:r>
            <w:r w:rsidRPr="00625EF8">
              <w:rPr>
                <w:i/>
                <w:iCs/>
                <w:sz w:val="18"/>
                <w:szCs w:val="18"/>
              </w:rPr>
              <w:t>)</w:t>
            </w:r>
            <w:r w:rsidRPr="00625EF8">
              <w:rPr>
                <w:b/>
                <w:bCs/>
              </w:rPr>
              <w:t xml:space="preserve"> </w:t>
            </w:r>
            <w:r w:rsidRPr="00625EF8">
              <w:rPr>
                <w:b/>
                <w:bCs/>
              </w:rPr>
              <w:tab/>
            </w:r>
            <w:r w:rsidRPr="00625EF8">
              <w:rPr>
                <w:b/>
                <w:bCs/>
              </w:rPr>
              <w:tab/>
            </w:r>
            <w:r w:rsidRPr="00625EF8">
              <w:rPr>
                <w:b/>
                <w:bCs/>
              </w:rPr>
              <w:tab/>
            </w:r>
            <w:r w:rsidRPr="00625EF8">
              <w:rPr>
                <w:color w:val="51247A" w:themeColor="accent1"/>
              </w:rPr>
              <w:t>Semester 2</w:t>
            </w:r>
          </w:p>
        </w:tc>
      </w:tr>
      <w:tr w:rsidR="0072606A" w:rsidRPr="007457E6" w14:paraId="3B3B712D" w14:textId="77777777" w:rsidTr="00E2589F">
        <w:trPr>
          <w:trHeight w:val="142"/>
        </w:trPr>
        <w:tc>
          <w:tcPr>
            <w:tcW w:w="5524" w:type="dxa"/>
            <w:tcBorders>
              <w:right w:val="nil"/>
            </w:tcBorders>
            <w:tcMar>
              <w:top w:w="57" w:type="dxa"/>
              <w:left w:w="57" w:type="dxa"/>
              <w:bottom w:w="57" w:type="dxa"/>
              <w:right w:w="57" w:type="dxa"/>
            </w:tcMar>
          </w:tcPr>
          <w:p w14:paraId="3751586B" w14:textId="7134076D" w:rsidR="0072606A" w:rsidRPr="00BE72FF" w:rsidRDefault="0072606A" w:rsidP="00BE72FF">
            <w:pPr>
              <w:ind w:left="1358" w:hanging="1358"/>
              <w:rPr>
                <w:bCs/>
              </w:rPr>
            </w:pPr>
            <w:r w:rsidRPr="00BE72FF">
              <w:rPr>
                <w:b/>
              </w:rPr>
              <w:t>EDUC7510</w:t>
            </w:r>
            <w:r w:rsidRPr="00BE72FF">
              <w:rPr>
                <w:b/>
              </w:rPr>
              <w:tab/>
            </w:r>
            <w:r w:rsidR="00BE72FF" w:rsidRPr="00BE72FF">
              <w:rPr>
                <w:bCs/>
                <w:sz w:val="18"/>
                <w:szCs w:val="18"/>
              </w:rPr>
              <w:t>Indigenous Knowledge and Education</w:t>
            </w:r>
            <w:r w:rsidRPr="00BE72FF">
              <w:t xml:space="preserve">   </w:t>
            </w:r>
          </w:p>
        </w:tc>
        <w:tc>
          <w:tcPr>
            <w:tcW w:w="850" w:type="dxa"/>
            <w:tcBorders>
              <w:left w:val="nil"/>
            </w:tcBorders>
          </w:tcPr>
          <w:p w14:paraId="46B9E0A1" w14:textId="732E5451" w:rsidR="0072606A" w:rsidRPr="007457E6" w:rsidRDefault="0072606A" w:rsidP="0072606A">
            <w:pPr>
              <w:ind w:left="57"/>
              <w:rPr>
                <w:bCs/>
              </w:rPr>
            </w:pPr>
            <w:r>
              <w:rPr>
                <w:bCs/>
              </w:rPr>
              <w:t>2 units</w:t>
            </w:r>
          </w:p>
        </w:tc>
        <w:tc>
          <w:tcPr>
            <w:tcW w:w="2835" w:type="dxa"/>
            <w:tcBorders>
              <w:right w:val="single" w:sz="4" w:space="0" w:color="auto"/>
            </w:tcBorders>
          </w:tcPr>
          <w:p w14:paraId="63EB5F92" w14:textId="7F8EE210" w:rsidR="0072606A" w:rsidRPr="009F6F35" w:rsidRDefault="0072606A" w:rsidP="0072606A">
            <w:pPr>
              <w:ind w:left="57"/>
              <w:rPr>
                <w:bCs/>
                <w:color w:val="3A332E" w:themeColor="background2" w:themeShade="40"/>
              </w:rPr>
            </w:pPr>
            <w:r>
              <w:rPr>
                <w:bCs/>
                <w:color w:val="3A332E" w:themeColor="background2" w:themeShade="40"/>
              </w:rPr>
              <w:t>EDUC7510</w:t>
            </w:r>
          </w:p>
        </w:tc>
        <w:tc>
          <w:tcPr>
            <w:tcW w:w="851" w:type="dxa"/>
            <w:tcBorders>
              <w:left w:val="single" w:sz="4" w:space="0" w:color="auto"/>
            </w:tcBorders>
          </w:tcPr>
          <w:p w14:paraId="57BE5122" w14:textId="50A03A90"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72606A" w:rsidRPr="007457E6" w14:paraId="3FAE34CE" w14:textId="77777777" w:rsidTr="00E2589F">
        <w:trPr>
          <w:trHeight w:val="142"/>
        </w:trPr>
        <w:tc>
          <w:tcPr>
            <w:tcW w:w="5524" w:type="dxa"/>
            <w:tcBorders>
              <w:bottom w:val="single" w:sz="4" w:space="0" w:color="auto"/>
              <w:right w:val="nil"/>
            </w:tcBorders>
            <w:tcMar>
              <w:top w:w="57" w:type="dxa"/>
              <w:left w:w="57" w:type="dxa"/>
              <w:bottom w:w="57" w:type="dxa"/>
              <w:right w:w="57" w:type="dxa"/>
            </w:tcMar>
          </w:tcPr>
          <w:p w14:paraId="72718D6F" w14:textId="27CC63AC" w:rsidR="0072606A" w:rsidRPr="00BE72FF" w:rsidRDefault="0072606A" w:rsidP="00BE72FF">
            <w:pPr>
              <w:ind w:left="1358" w:hanging="1358"/>
              <w:rPr>
                <w:bCs/>
              </w:rPr>
            </w:pPr>
            <w:r w:rsidRPr="00BE72FF">
              <w:rPr>
                <w:b/>
              </w:rPr>
              <w:t>EDUC7604</w:t>
            </w:r>
            <w:r w:rsidRPr="00BE72FF">
              <w:rPr>
                <w:b/>
              </w:rPr>
              <w:tab/>
            </w:r>
            <w:r w:rsidR="00BE72FF" w:rsidRPr="00BE72FF">
              <w:rPr>
                <w:bCs/>
                <w:sz w:val="18"/>
                <w:szCs w:val="18"/>
              </w:rPr>
              <w:t>Teachers as Educational Innovators and Agents of Change</w:t>
            </w:r>
          </w:p>
        </w:tc>
        <w:tc>
          <w:tcPr>
            <w:tcW w:w="850" w:type="dxa"/>
            <w:tcBorders>
              <w:left w:val="nil"/>
              <w:bottom w:val="single" w:sz="4" w:space="0" w:color="auto"/>
            </w:tcBorders>
          </w:tcPr>
          <w:p w14:paraId="094BBD1C" w14:textId="4A226193" w:rsidR="0072606A" w:rsidRPr="007457E6" w:rsidRDefault="0072606A" w:rsidP="0072606A">
            <w:pPr>
              <w:ind w:left="57"/>
              <w:rPr>
                <w:bCs/>
              </w:rPr>
            </w:pPr>
            <w:r>
              <w:rPr>
                <w:bCs/>
              </w:rPr>
              <w:t>2 units</w:t>
            </w:r>
          </w:p>
        </w:tc>
        <w:tc>
          <w:tcPr>
            <w:tcW w:w="2835" w:type="dxa"/>
            <w:tcBorders>
              <w:bottom w:val="single" w:sz="4" w:space="0" w:color="auto"/>
              <w:right w:val="single" w:sz="4" w:space="0" w:color="auto"/>
            </w:tcBorders>
          </w:tcPr>
          <w:p w14:paraId="39A2904C" w14:textId="28073304" w:rsidR="0072606A" w:rsidRPr="009F6F35" w:rsidRDefault="0072606A" w:rsidP="0072606A">
            <w:pPr>
              <w:ind w:left="57"/>
              <w:rPr>
                <w:bCs/>
                <w:color w:val="3A332E" w:themeColor="background2" w:themeShade="40"/>
              </w:rPr>
            </w:pPr>
            <w:r>
              <w:rPr>
                <w:bCs/>
                <w:color w:val="3A332E" w:themeColor="background2" w:themeShade="40"/>
              </w:rPr>
              <w:t>EDUC7604</w:t>
            </w:r>
          </w:p>
        </w:tc>
        <w:tc>
          <w:tcPr>
            <w:tcW w:w="851" w:type="dxa"/>
            <w:tcBorders>
              <w:left w:val="single" w:sz="4" w:space="0" w:color="auto"/>
              <w:bottom w:val="single" w:sz="4" w:space="0" w:color="auto"/>
            </w:tcBorders>
          </w:tcPr>
          <w:p w14:paraId="2C868522" w14:textId="03F346CC"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E2589F" w:rsidRPr="007457E6" w14:paraId="1AA3F769" w14:textId="77777777" w:rsidTr="00641A1A">
        <w:trPr>
          <w:trHeight w:val="142"/>
        </w:trPr>
        <w:tc>
          <w:tcPr>
            <w:tcW w:w="5524" w:type="dxa"/>
            <w:tcBorders>
              <w:bottom w:val="nil"/>
              <w:right w:val="nil"/>
            </w:tcBorders>
            <w:tcMar>
              <w:top w:w="57" w:type="dxa"/>
              <w:left w:w="57" w:type="dxa"/>
              <w:bottom w:w="57" w:type="dxa"/>
              <w:right w:w="57" w:type="dxa"/>
            </w:tcMar>
          </w:tcPr>
          <w:p w14:paraId="192C994E" w14:textId="1BC67C9C" w:rsidR="00E2589F" w:rsidRPr="00BE72FF" w:rsidRDefault="00E2589F" w:rsidP="00BE72FF">
            <w:pPr>
              <w:ind w:left="1358" w:hanging="1358"/>
              <w:rPr>
                <w:bCs/>
              </w:rPr>
            </w:pPr>
            <w:r w:rsidRPr="00BE72FF">
              <w:rPr>
                <w:b/>
              </w:rPr>
              <w:t>EDUC7605</w:t>
            </w:r>
            <w:r w:rsidRPr="00BE72FF">
              <w:rPr>
                <w:b/>
              </w:rPr>
              <w:tab/>
            </w:r>
            <w:r w:rsidR="00BE72FF" w:rsidRPr="00BE72FF">
              <w:rPr>
                <w:bCs/>
                <w:sz w:val="18"/>
                <w:szCs w:val="18"/>
              </w:rPr>
              <w:t>Building Professional Knowledge</w:t>
            </w:r>
          </w:p>
        </w:tc>
        <w:tc>
          <w:tcPr>
            <w:tcW w:w="850" w:type="dxa"/>
            <w:tcBorders>
              <w:left w:val="nil"/>
              <w:bottom w:val="nil"/>
            </w:tcBorders>
          </w:tcPr>
          <w:p w14:paraId="5F021056" w14:textId="6316DE85" w:rsidR="00E2589F" w:rsidRPr="007457E6" w:rsidRDefault="00E2589F" w:rsidP="0072606A">
            <w:pPr>
              <w:ind w:left="57"/>
              <w:rPr>
                <w:bCs/>
              </w:rPr>
            </w:pPr>
            <w:r>
              <w:rPr>
                <w:bCs/>
              </w:rPr>
              <w:t>2 units</w:t>
            </w:r>
          </w:p>
        </w:tc>
        <w:tc>
          <w:tcPr>
            <w:tcW w:w="2835" w:type="dxa"/>
            <w:vMerge w:val="restart"/>
            <w:tcBorders>
              <w:right w:val="single" w:sz="4" w:space="0" w:color="auto"/>
            </w:tcBorders>
          </w:tcPr>
          <w:p w14:paraId="6D39ACA0" w14:textId="13E1ADA2" w:rsidR="00E2589F" w:rsidRPr="009F6F35" w:rsidRDefault="00E2589F" w:rsidP="0072606A">
            <w:pPr>
              <w:ind w:left="57"/>
              <w:rPr>
                <w:bCs/>
                <w:color w:val="3A332E" w:themeColor="background2" w:themeShade="40"/>
              </w:rPr>
            </w:pPr>
            <w:r>
              <w:rPr>
                <w:bCs/>
                <w:color w:val="3A332E" w:themeColor="background2" w:themeShade="40"/>
              </w:rPr>
              <w:t>EDUC7605</w:t>
            </w:r>
          </w:p>
        </w:tc>
        <w:tc>
          <w:tcPr>
            <w:tcW w:w="851" w:type="dxa"/>
            <w:vMerge w:val="restart"/>
            <w:tcBorders>
              <w:left w:val="single" w:sz="4" w:space="0" w:color="auto"/>
            </w:tcBorders>
          </w:tcPr>
          <w:p w14:paraId="58A059DA" w14:textId="2537FE30" w:rsidR="00E2589F" w:rsidRPr="009F6F35" w:rsidRDefault="00E2589F" w:rsidP="0072606A">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E2589F" w:rsidRPr="007457E6" w14:paraId="32DFDEAA" w14:textId="77777777" w:rsidTr="00641A1A">
        <w:trPr>
          <w:trHeight w:val="142"/>
        </w:trPr>
        <w:tc>
          <w:tcPr>
            <w:tcW w:w="6374" w:type="dxa"/>
            <w:gridSpan w:val="2"/>
            <w:tcBorders>
              <w:top w:val="nil"/>
              <w:bottom w:val="single" w:sz="4" w:space="0" w:color="auto"/>
            </w:tcBorders>
            <w:tcMar>
              <w:top w:w="57" w:type="dxa"/>
              <w:left w:w="57" w:type="dxa"/>
              <w:bottom w:w="57" w:type="dxa"/>
              <w:right w:w="57" w:type="dxa"/>
            </w:tcMar>
          </w:tcPr>
          <w:p w14:paraId="6DFC8814" w14:textId="37723B76" w:rsidR="00E2589F" w:rsidRPr="00625EF8" w:rsidRDefault="00E2589F" w:rsidP="0072606A">
            <w:pPr>
              <w:ind w:left="1492"/>
              <w:rPr>
                <w:bCs/>
              </w:rPr>
            </w:pPr>
            <w:r w:rsidRPr="00625EF8">
              <w:rPr>
                <w:bCs/>
                <w:i/>
                <w:iCs/>
                <w:sz w:val="16"/>
                <w:szCs w:val="18"/>
              </w:rPr>
              <w:t>includes 10 days of professional experience (</w:t>
            </w:r>
            <w:proofErr w:type="gramStart"/>
            <w:r w:rsidRPr="00625EF8">
              <w:rPr>
                <w:bCs/>
                <w:i/>
                <w:iCs/>
                <w:sz w:val="16"/>
                <w:szCs w:val="18"/>
              </w:rPr>
              <w:t>two week</w:t>
            </w:r>
            <w:proofErr w:type="gramEnd"/>
            <w:r w:rsidRPr="00625EF8">
              <w:rPr>
                <w:bCs/>
                <w:i/>
                <w:iCs/>
                <w:sz w:val="16"/>
                <w:szCs w:val="18"/>
              </w:rPr>
              <w:t xml:space="preserve"> block)</w:t>
            </w:r>
          </w:p>
        </w:tc>
        <w:tc>
          <w:tcPr>
            <w:tcW w:w="2835" w:type="dxa"/>
            <w:vMerge/>
            <w:tcBorders>
              <w:bottom w:val="single" w:sz="4" w:space="0" w:color="auto"/>
              <w:right w:val="single" w:sz="4" w:space="0" w:color="auto"/>
            </w:tcBorders>
          </w:tcPr>
          <w:p w14:paraId="0BFD5544" w14:textId="77777777" w:rsidR="00E2589F" w:rsidRPr="009F6F35" w:rsidRDefault="00E2589F" w:rsidP="0072606A">
            <w:pPr>
              <w:ind w:left="57"/>
              <w:rPr>
                <w:bCs/>
                <w:color w:val="3A332E" w:themeColor="background2" w:themeShade="40"/>
              </w:rPr>
            </w:pPr>
          </w:p>
        </w:tc>
        <w:tc>
          <w:tcPr>
            <w:tcW w:w="851" w:type="dxa"/>
            <w:vMerge/>
            <w:tcBorders>
              <w:left w:val="single" w:sz="4" w:space="0" w:color="auto"/>
              <w:bottom w:val="single" w:sz="4" w:space="0" w:color="auto"/>
            </w:tcBorders>
          </w:tcPr>
          <w:p w14:paraId="10BCB7B2" w14:textId="38F80A03" w:rsidR="00E2589F" w:rsidRPr="009F6F35" w:rsidRDefault="00E2589F" w:rsidP="0072606A">
            <w:pPr>
              <w:ind w:left="57"/>
              <w:rPr>
                <w:bCs/>
                <w:color w:val="3A332E" w:themeColor="background2" w:themeShade="40"/>
              </w:rPr>
            </w:pPr>
          </w:p>
        </w:tc>
      </w:tr>
      <w:tr w:rsidR="0072606A" w:rsidRPr="007457E6" w14:paraId="7C05A7BA" w14:textId="77777777" w:rsidTr="00E2589F">
        <w:trPr>
          <w:trHeight w:val="142"/>
        </w:trPr>
        <w:tc>
          <w:tcPr>
            <w:tcW w:w="5524" w:type="dxa"/>
            <w:tcBorders>
              <w:bottom w:val="single" w:sz="4" w:space="0" w:color="auto"/>
              <w:right w:val="nil"/>
            </w:tcBorders>
            <w:tcMar>
              <w:top w:w="57" w:type="dxa"/>
              <w:left w:w="57" w:type="dxa"/>
              <w:bottom w:w="57" w:type="dxa"/>
              <w:right w:w="57" w:type="dxa"/>
            </w:tcMar>
          </w:tcPr>
          <w:p w14:paraId="555B30E2" w14:textId="6CE3C1D9" w:rsidR="0072606A" w:rsidRPr="00625EF8" w:rsidRDefault="0072606A" w:rsidP="00BE72FF">
            <w:pPr>
              <w:ind w:left="791" w:hanging="791"/>
              <w:rPr>
                <w:b/>
              </w:rPr>
            </w:pPr>
            <w:r w:rsidRPr="00625EF8">
              <w:rPr>
                <w:b/>
              </w:rPr>
              <w:t>EDUC7606</w:t>
            </w:r>
            <w:r w:rsidRPr="00625EF8">
              <w:rPr>
                <w:bCs/>
              </w:rPr>
              <w:tab/>
            </w:r>
            <w:r w:rsidR="00BE72FF" w:rsidRPr="00BE72FF">
              <w:rPr>
                <w:bCs/>
                <w:sz w:val="18"/>
                <w:szCs w:val="18"/>
              </w:rPr>
              <w:t>Building Inclusive Secondary Classrooms</w:t>
            </w:r>
          </w:p>
        </w:tc>
        <w:tc>
          <w:tcPr>
            <w:tcW w:w="850" w:type="dxa"/>
            <w:tcBorders>
              <w:left w:val="nil"/>
              <w:bottom w:val="single" w:sz="4" w:space="0" w:color="auto"/>
            </w:tcBorders>
          </w:tcPr>
          <w:p w14:paraId="266F3E45" w14:textId="725B7682" w:rsidR="0072606A" w:rsidRPr="007457E6" w:rsidRDefault="0072606A" w:rsidP="0072606A">
            <w:pPr>
              <w:ind w:left="57"/>
              <w:rPr>
                <w:bCs/>
              </w:rPr>
            </w:pPr>
            <w:r w:rsidRPr="007457E6">
              <w:rPr>
                <w:bCs/>
              </w:rPr>
              <w:t>2 units</w:t>
            </w:r>
          </w:p>
        </w:tc>
        <w:tc>
          <w:tcPr>
            <w:tcW w:w="2835" w:type="dxa"/>
            <w:tcBorders>
              <w:bottom w:val="single" w:sz="4" w:space="0" w:color="auto"/>
              <w:right w:val="single" w:sz="4" w:space="0" w:color="auto"/>
            </w:tcBorders>
          </w:tcPr>
          <w:p w14:paraId="14B4B3B0" w14:textId="095E0EC1" w:rsidR="0072606A" w:rsidRPr="009F6F35" w:rsidRDefault="0072606A" w:rsidP="0072606A">
            <w:pPr>
              <w:ind w:left="57"/>
              <w:rPr>
                <w:bCs/>
                <w:color w:val="3A332E" w:themeColor="background2" w:themeShade="40"/>
              </w:rPr>
            </w:pPr>
            <w:r>
              <w:rPr>
                <w:bCs/>
                <w:color w:val="3A332E" w:themeColor="background2" w:themeShade="40"/>
              </w:rPr>
              <w:t>EDUC7606</w:t>
            </w:r>
          </w:p>
        </w:tc>
        <w:tc>
          <w:tcPr>
            <w:tcW w:w="851" w:type="dxa"/>
            <w:tcBorders>
              <w:left w:val="single" w:sz="4" w:space="0" w:color="auto"/>
              <w:bottom w:val="single" w:sz="4" w:space="0" w:color="auto"/>
            </w:tcBorders>
          </w:tcPr>
          <w:p w14:paraId="735E1983" w14:textId="374F9612" w:rsidR="0072606A" w:rsidRPr="009F6F35" w:rsidRDefault="0072606A" w:rsidP="0072606A">
            <w:pPr>
              <w:ind w:left="57"/>
              <w:rPr>
                <w:bCs/>
                <w:color w:val="3A332E" w:themeColor="background2" w:themeShade="40"/>
              </w:rPr>
            </w:pPr>
            <w:r w:rsidRPr="009F6F35">
              <w:rPr>
                <w:bCs/>
                <w:color w:val="3A332E" w:themeColor="background2" w:themeShade="40"/>
              </w:rPr>
              <w:t>2 units</w:t>
            </w:r>
          </w:p>
        </w:tc>
      </w:tr>
      <w:tr w:rsidR="0072606A" w:rsidRPr="007457E6" w14:paraId="3D05C5A0" w14:textId="77777777" w:rsidTr="003F2C6B">
        <w:trPr>
          <w:trHeight w:val="113"/>
        </w:trPr>
        <w:tc>
          <w:tcPr>
            <w:tcW w:w="10060" w:type="dxa"/>
            <w:gridSpan w:val="4"/>
            <w:tcBorders>
              <w:left w:val="nil"/>
              <w:right w:val="nil"/>
            </w:tcBorders>
            <w:tcMar>
              <w:top w:w="57" w:type="dxa"/>
              <w:left w:w="57" w:type="dxa"/>
              <w:bottom w:w="57" w:type="dxa"/>
              <w:right w:w="57" w:type="dxa"/>
            </w:tcMar>
          </w:tcPr>
          <w:p w14:paraId="7FF6E03F" w14:textId="77777777" w:rsidR="0072606A" w:rsidRPr="00625EF8" w:rsidRDefault="0072606A" w:rsidP="0072606A">
            <w:pPr>
              <w:ind w:left="57"/>
              <w:rPr>
                <w:b/>
                <w:bCs/>
                <w:szCs w:val="20"/>
              </w:rPr>
            </w:pPr>
          </w:p>
        </w:tc>
      </w:tr>
      <w:tr w:rsidR="0072606A" w:rsidRPr="0003026B" w14:paraId="4C76EC94" w14:textId="77777777" w:rsidTr="009F6F35">
        <w:trPr>
          <w:trHeight w:val="142"/>
        </w:trPr>
        <w:tc>
          <w:tcPr>
            <w:tcW w:w="10060" w:type="dxa"/>
            <w:gridSpan w:val="4"/>
            <w:shd w:val="clear" w:color="auto" w:fill="E9E2F0" w:themeFill="text1" w:themeFillTint="1A"/>
            <w:tcMar>
              <w:top w:w="57" w:type="dxa"/>
              <w:left w:w="57" w:type="dxa"/>
              <w:bottom w:w="57" w:type="dxa"/>
              <w:right w:w="57" w:type="dxa"/>
            </w:tcMar>
          </w:tcPr>
          <w:p w14:paraId="7B42CB1C" w14:textId="72B687F7" w:rsidR="0072606A" w:rsidRPr="00625EF8" w:rsidRDefault="0072606A" w:rsidP="0072606A">
            <w:pPr>
              <w:ind w:left="57"/>
              <w:rPr>
                <w:b/>
                <w:bCs/>
                <w:sz w:val="22"/>
                <w:szCs w:val="24"/>
              </w:rPr>
            </w:pPr>
            <w:r w:rsidRPr="00625EF8">
              <w:rPr>
                <w:b/>
                <w:bCs/>
                <w:sz w:val="22"/>
                <w:szCs w:val="24"/>
              </w:rPr>
              <w:t>Year 2</w:t>
            </w:r>
          </w:p>
        </w:tc>
      </w:tr>
      <w:tr w:rsidR="0072606A" w:rsidRPr="007457E6" w14:paraId="216F5CD6" w14:textId="77777777" w:rsidTr="009F6F35">
        <w:trPr>
          <w:trHeight w:val="142"/>
        </w:trPr>
        <w:tc>
          <w:tcPr>
            <w:tcW w:w="10060" w:type="dxa"/>
            <w:gridSpan w:val="4"/>
            <w:shd w:val="clear" w:color="auto" w:fill="EAE9E8" w:themeFill="text2" w:themeFillTint="33"/>
            <w:tcMar>
              <w:top w:w="57" w:type="dxa"/>
              <w:left w:w="57" w:type="dxa"/>
              <w:bottom w:w="57" w:type="dxa"/>
              <w:right w:w="57" w:type="dxa"/>
            </w:tcMar>
          </w:tcPr>
          <w:p w14:paraId="7F2AA0FF" w14:textId="09C4D53C" w:rsidR="0072606A" w:rsidRPr="00625EF8" w:rsidRDefault="0072606A" w:rsidP="0072606A">
            <w:pPr>
              <w:ind w:left="57"/>
              <w:rPr>
                <w:b/>
                <w:bCs/>
              </w:rPr>
            </w:pPr>
            <w:r w:rsidRPr="00625EF8">
              <w:t>3</w:t>
            </w:r>
            <w:r w:rsidRPr="00625EF8">
              <w:rPr>
                <w:vertAlign w:val="superscript"/>
              </w:rPr>
              <w:t>rd</w:t>
            </w:r>
            <w:r w:rsidRPr="00625EF8">
              <w:t xml:space="preserve"> Semester</w:t>
            </w:r>
            <w:r w:rsidRPr="00625EF8">
              <w:rPr>
                <w:b/>
                <w:bCs/>
              </w:rPr>
              <w:t xml:space="preserve"> </w:t>
            </w:r>
            <w:r w:rsidRPr="00625EF8">
              <w:rPr>
                <w:i/>
                <w:iCs/>
                <w:sz w:val="18"/>
                <w:szCs w:val="18"/>
              </w:rPr>
              <w:t>(</w:t>
            </w:r>
            <w:r w:rsidRPr="00625EF8">
              <w:rPr>
                <w:rFonts w:ascii="Arial" w:hAnsi="Arial" w:cs="Arial"/>
                <w:i/>
                <w:iCs/>
                <w:sz w:val="18"/>
                <w:szCs w:val="18"/>
              </w:rPr>
              <w:t>Feb – Jun</w:t>
            </w:r>
            <w:r w:rsidRPr="00625EF8">
              <w:rPr>
                <w:i/>
                <w:iCs/>
                <w:sz w:val="18"/>
                <w:szCs w:val="18"/>
              </w:rPr>
              <w:t>)</w:t>
            </w:r>
            <w:r w:rsidRPr="00625EF8">
              <w:rPr>
                <w:b/>
                <w:bCs/>
              </w:rPr>
              <w:tab/>
            </w:r>
            <w:r w:rsidRPr="00625EF8">
              <w:rPr>
                <w:b/>
                <w:bCs/>
              </w:rPr>
              <w:tab/>
            </w:r>
            <w:r w:rsidRPr="00625EF8">
              <w:rPr>
                <w:b/>
                <w:bCs/>
              </w:rPr>
              <w:tab/>
            </w:r>
            <w:r w:rsidRPr="00625EF8">
              <w:rPr>
                <w:color w:val="51247A" w:themeColor="accent1"/>
              </w:rPr>
              <w:t>Semester 1</w:t>
            </w:r>
          </w:p>
        </w:tc>
      </w:tr>
      <w:tr w:rsidR="00723ABA" w:rsidRPr="007457E6" w14:paraId="2F4031FB" w14:textId="77777777" w:rsidTr="00E2589F">
        <w:trPr>
          <w:trHeight w:val="142"/>
        </w:trPr>
        <w:tc>
          <w:tcPr>
            <w:tcW w:w="5524" w:type="dxa"/>
            <w:tcBorders>
              <w:bottom w:val="nil"/>
              <w:right w:val="nil"/>
            </w:tcBorders>
            <w:tcMar>
              <w:top w:w="57" w:type="dxa"/>
              <w:left w:w="57" w:type="dxa"/>
              <w:bottom w:w="57" w:type="dxa"/>
              <w:right w:w="57" w:type="dxa"/>
            </w:tcMar>
          </w:tcPr>
          <w:p w14:paraId="21B6C9DD" w14:textId="6F39D7D2" w:rsidR="00723ABA" w:rsidRPr="00625EF8" w:rsidRDefault="00723ABA" w:rsidP="00BE72FF">
            <w:pPr>
              <w:ind w:left="791" w:hanging="791"/>
              <w:rPr>
                <w:b/>
              </w:rPr>
            </w:pPr>
            <w:r w:rsidRPr="00625EF8">
              <w:rPr>
                <w:b/>
              </w:rPr>
              <w:t>EDUC7520</w:t>
            </w:r>
            <w:r w:rsidRPr="00625EF8">
              <w:rPr>
                <w:b/>
              </w:rPr>
              <w:tab/>
            </w:r>
            <w:r w:rsidR="00BE72FF" w:rsidRPr="00BE72FF">
              <w:rPr>
                <w:bCs/>
                <w:sz w:val="18"/>
                <w:szCs w:val="18"/>
              </w:rPr>
              <w:t>Teachers as Researchers</w:t>
            </w:r>
          </w:p>
        </w:tc>
        <w:tc>
          <w:tcPr>
            <w:tcW w:w="850" w:type="dxa"/>
            <w:tcBorders>
              <w:left w:val="nil"/>
              <w:bottom w:val="nil"/>
            </w:tcBorders>
          </w:tcPr>
          <w:p w14:paraId="7C6ADB67" w14:textId="334F5CDD" w:rsidR="00723ABA" w:rsidRDefault="00723ABA" w:rsidP="00723ABA">
            <w:pPr>
              <w:ind w:left="57"/>
              <w:rPr>
                <w:bCs/>
              </w:rPr>
            </w:pPr>
            <w:r>
              <w:rPr>
                <w:bCs/>
              </w:rPr>
              <w:t>2 units</w:t>
            </w:r>
          </w:p>
        </w:tc>
        <w:tc>
          <w:tcPr>
            <w:tcW w:w="2835" w:type="dxa"/>
            <w:tcBorders>
              <w:bottom w:val="single" w:sz="4" w:space="0" w:color="auto"/>
              <w:right w:val="single" w:sz="4" w:space="0" w:color="auto"/>
            </w:tcBorders>
          </w:tcPr>
          <w:p w14:paraId="2A70007F" w14:textId="67E38ECA" w:rsidR="00723ABA" w:rsidRDefault="00723ABA" w:rsidP="00723ABA">
            <w:pPr>
              <w:ind w:left="57"/>
              <w:rPr>
                <w:bCs/>
                <w:color w:val="3A332E" w:themeColor="background2" w:themeShade="40"/>
              </w:rPr>
            </w:pPr>
            <w:r>
              <w:rPr>
                <w:bCs/>
                <w:color w:val="3A332E" w:themeColor="background2" w:themeShade="40"/>
              </w:rPr>
              <w:t>EDUC7520</w:t>
            </w:r>
          </w:p>
        </w:tc>
        <w:tc>
          <w:tcPr>
            <w:tcW w:w="851" w:type="dxa"/>
            <w:tcBorders>
              <w:left w:val="single" w:sz="4" w:space="0" w:color="auto"/>
              <w:bottom w:val="single" w:sz="4" w:space="0" w:color="auto"/>
            </w:tcBorders>
          </w:tcPr>
          <w:p w14:paraId="25CFC834" w14:textId="4DE4BE6E" w:rsidR="00723ABA" w:rsidRDefault="00723ABA" w:rsidP="00723ABA">
            <w:pPr>
              <w:ind w:left="57"/>
              <w:rPr>
                <w:bCs/>
                <w:color w:val="3A332E" w:themeColor="background2" w:themeShade="40"/>
              </w:rPr>
            </w:pPr>
            <w:r w:rsidRPr="007F080C">
              <w:rPr>
                <w:bCs/>
                <w:color w:val="3A332E" w:themeColor="background2" w:themeShade="40"/>
              </w:rPr>
              <w:t>2 units</w:t>
            </w:r>
          </w:p>
        </w:tc>
      </w:tr>
      <w:tr w:rsidR="00581765" w:rsidRPr="007457E6" w14:paraId="674B9AFC" w14:textId="77777777" w:rsidTr="00F04724">
        <w:trPr>
          <w:trHeight w:val="142"/>
        </w:trPr>
        <w:tc>
          <w:tcPr>
            <w:tcW w:w="5524" w:type="dxa"/>
            <w:tcBorders>
              <w:bottom w:val="nil"/>
              <w:right w:val="nil"/>
            </w:tcBorders>
            <w:tcMar>
              <w:top w:w="57" w:type="dxa"/>
              <w:left w:w="57" w:type="dxa"/>
              <w:bottom w:w="57" w:type="dxa"/>
              <w:right w:w="57" w:type="dxa"/>
            </w:tcMar>
          </w:tcPr>
          <w:p w14:paraId="16D68282" w14:textId="5DB96E59" w:rsidR="00581765" w:rsidRPr="00625EF8" w:rsidRDefault="00581765" w:rsidP="00BE72FF">
            <w:pPr>
              <w:ind w:left="791" w:hanging="791"/>
              <w:rPr>
                <w:bCs/>
              </w:rPr>
            </w:pPr>
            <w:r w:rsidRPr="00625EF8">
              <w:rPr>
                <w:b/>
              </w:rPr>
              <w:t>EDUC7615</w:t>
            </w:r>
            <w:r w:rsidRPr="00625EF8">
              <w:rPr>
                <w:b/>
              </w:rPr>
              <w:tab/>
            </w:r>
            <w:r w:rsidR="00BE72FF" w:rsidRPr="00BE72FF">
              <w:rPr>
                <w:bCs/>
                <w:sz w:val="18"/>
                <w:szCs w:val="18"/>
              </w:rPr>
              <w:t>Developing Professional Practice</w:t>
            </w:r>
          </w:p>
        </w:tc>
        <w:tc>
          <w:tcPr>
            <w:tcW w:w="850" w:type="dxa"/>
            <w:tcBorders>
              <w:left w:val="nil"/>
              <w:bottom w:val="nil"/>
            </w:tcBorders>
          </w:tcPr>
          <w:p w14:paraId="3E59700C" w14:textId="2563B747" w:rsidR="00581765" w:rsidRPr="007457E6" w:rsidRDefault="00581765" w:rsidP="0072606A">
            <w:pPr>
              <w:ind w:left="57"/>
              <w:rPr>
                <w:bCs/>
              </w:rPr>
            </w:pPr>
            <w:r>
              <w:rPr>
                <w:bCs/>
              </w:rPr>
              <w:t>2 units</w:t>
            </w:r>
          </w:p>
        </w:tc>
        <w:tc>
          <w:tcPr>
            <w:tcW w:w="2835" w:type="dxa"/>
            <w:vMerge w:val="restart"/>
            <w:tcBorders>
              <w:right w:val="single" w:sz="4" w:space="0" w:color="auto"/>
            </w:tcBorders>
          </w:tcPr>
          <w:p w14:paraId="082C4664" w14:textId="00FF42AC" w:rsidR="00581765" w:rsidRPr="007F080C" w:rsidRDefault="00581765" w:rsidP="0072606A">
            <w:pPr>
              <w:ind w:left="57"/>
              <w:rPr>
                <w:bCs/>
                <w:color w:val="3A332E" w:themeColor="background2" w:themeShade="40"/>
              </w:rPr>
            </w:pPr>
            <w:r>
              <w:rPr>
                <w:bCs/>
                <w:color w:val="3A332E" w:themeColor="background2" w:themeShade="40"/>
              </w:rPr>
              <w:t>EDUC7615</w:t>
            </w:r>
          </w:p>
        </w:tc>
        <w:tc>
          <w:tcPr>
            <w:tcW w:w="851" w:type="dxa"/>
            <w:vMerge w:val="restart"/>
            <w:tcBorders>
              <w:left w:val="single" w:sz="4" w:space="0" w:color="auto"/>
            </w:tcBorders>
          </w:tcPr>
          <w:p w14:paraId="25952F7D" w14:textId="7105F781" w:rsidR="00581765" w:rsidRPr="007F080C" w:rsidRDefault="00581765" w:rsidP="0072606A">
            <w:pPr>
              <w:ind w:left="57"/>
              <w:rPr>
                <w:bCs/>
                <w:color w:val="3A332E" w:themeColor="background2" w:themeShade="40"/>
              </w:rPr>
            </w:pPr>
            <w:r>
              <w:rPr>
                <w:bCs/>
                <w:color w:val="3A332E" w:themeColor="background2" w:themeShade="40"/>
              </w:rPr>
              <w:t>2 units</w:t>
            </w:r>
          </w:p>
        </w:tc>
      </w:tr>
      <w:tr w:rsidR="00581765" w:rsidRPr="007457E6" w14:paraId="1AC175D1" w14:textId="77777777" w:rsidTr="00F04724">
        <w:trPr>
          <w:trHeight w:val="142"/>
        </w:trPr>
        <w:tc>
          <w:tcPr>
            <w:tcW w:w="6374" w:type="dxa"/>
            <w:gridSpan w:val="2"/>
            <w:tcBorders>
              <w:top w:val="nil"/>
            </w:tcBorders>
            <w:tcMar>
              <w:top w:w="57" w:type="dxa"/>
              <w:left w:w="57" w:type="dxa"/>
              <w:bottom w:w="57" w:type="dxa"/>
              <w:right w:w="57" w:type="dxa"/>
            </w:tcMar>
          </w:tcPr>
          <w:p w14:paraId="5483B07A" w14:textId="7E2F5AFF" w:rsidR="00581765" w:rsidRPr="00625EF8" w:rsidRDefault="00581765" w:rsidP="0072606A">
            <w:pPr>
              <w:ind w:left="1492"/>
              <w:rPr>
                <w:bCs/>
                <w:i/>
                <w:iCs/>
              </w:rPr>
            </w:pPr>
            <w:r w:rsidRPr="00625EF8">
              <w:rPr>
                <w:bCs/>
                <w:i/>
                <w:iCs/>
                <w:sz w:val="16"/>
                <w:szCs w:val="18"/>
              </w:rPr>
              <w:t xml:space="preserve">includes </w:t>
            </w:r>
            <w:r w:rsidR="00625EF8" w:rsidRPr="00625EF8">
              <w:rPr>
                <w:bCs/>
                <w:i/>
                <w:iCs/>
                <w:sz w:val="16"/>
                <w:szCs w:val="18"/>
              </w:rPr>
              <w:t>25</w:t>
            </w:r>
            <w:r w:rsidRPr="00625EF8">
              <w:rPr>
                <w:bCs/>
                <w:i/>
                <w:iCs/>
                <w:sz w:val="16"/>
                <w:szCs w:val="18"/>
              </w:rPr>
              <w:t xml:space="preserve"> days of professional experience (</w:t>
            </w:r>
            <w:proofErr w:type="gramStart"/>
            <w:r w:rsidR="00625EF8" w:rsidRPr="00625EF8">
              <w:rPr>
                <w:bCs/>
                <w:i/>
                <w:iCs/>
                <w:sz w:val="16"/>
                <w:szCs w:val="18"/>
              </w:rPr>
              <w:t>five</w:t>
            </w:r>
            <w:r w:rsidRPr="00625EF8">
              <w:rPr>
                <w:bCs/>
                <w:i/>
                <w:iCs/>
                <w:sz w:val="16"/>
                <w:szCs w:val="18"/>
              </w:rPr>
              <w:t xml:space="preserve"> week</w:t>
            </w:r>
            <w:proofErr w:type="gramEnd"/>
            <w:r w:rsidRPr="00625EF8">
              <w:rPr>
                <w:bCs/>
                <w:i/>
                <w:iCs/>
                <w:sz w:val="16"/>
                <w:szCs w:val="18"/>
              </w:rPr>
              <w:t xml:space="preserve"> block)</w:t>
            </w:r>
          </w:p>
        </w:tc>
        <w:tc>
          <w:tcPr>
            <w:tcW w:w="2835" w:type="dxa"/>
            <w:vMerge/>
            <w:tcBorders>
              <w:right w:val="single" w:sz="4" w:space="0" w:color="auto"/>
            </w:tcBorders>
          </w:tcPr>
          <w:p w14:paraId="5B1610F6" w14:textId="52653E4A" w:rsidR="00581765" w:rsidRPr="007F080C" w:rsidRDefault="00581765" w:rsidP="0072606A">
            <w:pPr>
              <w:ind w:left="57"/>
              <w:rPr>
                <w:bCs/>
                <w:color w:val="3A332E" w:themeColor="background2" w:themeShade="40"/>
              </w:rPr>
            </w:pPr>
          </w:p>
        </w:tc>
        <w:tc>
          <w:tcPr>
            <w:tcW w:w="851" w:type="dxa"/>
            <w:vMerge/>
            <w:tcBorders>
              <w:left w:val="single" w:sz="4" w:space="0" w:color="auto"/>
            </w:tcBorders>
          </w:tcPr>
          <w:p w14:paraId="789582A2" w14:textId="2130FB81" w:rsidR="00581765" w:rsidRPr="007F080C" w:rsidRDefault="00581765" w:rsidP="0072606A">
            <w:pPr>
              <w:ind w:left="57"/>
              <w:rPr>
                <w:bCs/>
                <w:color w:val="3A332E" w:themeColor="background2" w:themeShade="40"/>
              </w:rPr>
            </w:pPr>
          </w:p>
        </w:tc>
      </w:tr>
      <w:tr w:rsidR="0072606A" w:rsidRPr="007457E6" w14:paraId="6017AE6D" w14:textId="77777777" w:rsidTr="00E2589F">
        <w:trPr>
          <w:trHeight w:val="142"/>
        </w:trPr>
        <w:tc>
          <w:tcPr>
            <w:tcW w:w="5524" w:type="dxa"/>
            <w:tcBorders>
              <w:right w:val="nil"/>
            </w:tcBorders>
            <w:tcMar>
              <w:top w:w="57" w:type="dxa"/>
              <w:left w:w="57" w:type="dxa"/>
              <w:bottom w:w="57" w:type="dxa"/>
              <w:right w:w="57" w:type="dxa"/>
            </w:tcMar>
          </w:tcPr>
          <w:p w14:paraId="263D0B24" w14:textId="4CAC9892" w:rsidR="0072606A" w:rsidRPr="00625EF8" w:rsidRDefault="0002406C" w:rsidP="0072606A">
            <w:pPr>
              <w:rPr>
                <w:bCs/>
              </w:rPr>
            </w:pPr>
            <w:r w:rsidRPr="00625EF8">
              <w:rPr>
                <w:b/>
              </w:rPr>
              <w:t>EDUC76 - -</w:t>
            </w:r>
            <w:r w:rsidR="0072606A" w:rsidRPr="00625EF8">
              <w:rPr>
                <w:b/>
              </w:rPr>
              <w:tab/>
            </w:r>
            <w:r w:rsidR="00723ABA" w:rsidRPr="00BE72FF">
              <w:rPr>
                <w:bCs/>
                <w:i/>
                <w:iCs/>
                <w:sz w:val="18"/>
                <w:szCs w:val="18"/>
              </w:rPr>
              <w:t>Curriculum Studies Course</w:t>
            </w:r>
            <w:r w:rsidR="0052789E" w:rsidRPr="00BE72FF">
              <w:rPr>
                <w:bCs/>
                <w:i/>
                <w:iCs/>
                <w:sz w:val="18"/>
                <w:szCs w:val="18"/>
              </w:rPr>
              <w:t xml:space="preserve"> *</w:t>
            </w:r>
          </w:p>
        </w:tc>
        <w:tc>
          <w:tcPr>
            <w:tcW w:w="850" w:type="dxa"/>
            <w:tcBorders>
              <w:left w:val="nil"/>
            </w:tcBorders>
          </w:tcPr>
          <w:p w14:paraId="0EE11C5A" w14:textId="145E435B" w:rsidR="0072606A" w:rsidRPr="007457E6" w:rsidRDefault="0072606A" w:rsidP="0072606A">
            <w:pPr>
              <w:ind w:left="57"/>
              <w:rPr>
                <w:bCs/>
              </w:rPr>
            </w:pPr>
            <w:r>
              <w:rPr>
                <w:bCs/>
              </w:rPr>
              <w:t>2 units</w:t>
            </w:r>
          </w:p>
        </w:tc>
        <w:sdt>
          <w:sdtPr>
            <w:rPr>
              <w:bCs/>
              <w:color w:val="3A332E" w:themeColor="background2" w:themeShade="40"/>
            </w:rPr>
            <w:id w:val="1646931555"/>
            <w:placeholder>
              <w:docPart w:val="DefaultPlaceholder_-1854013440"/>
            </w:placeholder>
            <w:showingPlcHdr/>
          </w:sdtPr>
          <w:sdtContent>
            <w:tc>
              <w:tcPr>
                <w:tcW w:w="2835" w:type="dxa"/>
                <w:tcBorders>
                  <w:right w:val="single" w:sz="4" w:space="0" w:color="auto"/>
                </w:tcBorders>
              </w:tcPr>
              <w:p w14:paraId="6D096BFA" w14:textId="687488A2" w:rsidR="0072606A" w:rsidRPr="007F080C" w:rsidRDefault="00DC3982" w:rsidP="0072606A">
                <w:pPr>
                  <w:ind w:left="57"/>
                  <w:rPr>
                    <w:bCs/>
                    <w:color w:val="3A332E" w:themeColor="background2" w:themeShade="40"/>
                  </w:rPr>
                </w:pPr>
                <w:r w:rsidRPr="007A49A6">
                  <w:rPr>
                    <w:rStyle w:val="PlaceholderText"/>
                  </w:rPr>
                  <w:t>Click or tap here to enter text.</w:t>
                </w:r>
              </w:p>
            </w:tc>
          </w:sdtContent>
        </w:sdt>
        <w:tc>
          <w:tcPr>
            <w:tcW w:w="851" w:type="dxa"/>
            <w:tcBorders>
              <w:left w:val="single" w:sz="4" w:space="0" w:color="auto"/>
            </w:tcBorders>
          </w:tcPr>
          <w:p w14:paraId="1D805A5F" w14:textId="77777777" w:rsidR="0072606A" w:rsidRPr="007F080C" w:rsidRDefault="0072606A" w:rsidP="0072606A">
            <w:pPr>
              <w:ind w:left="57"/>
              <w:rPr>
                <w:bCs/>
                <w:color w:val="3A332E" w:themeColor="background2" w:themeShade="40"/>
              </w:rPr>
            </w:pPr>
            <w:r w:rsidRPr="007F080C">
              <w:rPr>
                <w:bCs/>
                <w:color w:val="3A332E" w:themeColor="background2" w:themeShade="40"/>
              </w:rPr>
              <w:t>2 units</w:t>
            </w:r>
          </w:p>
        </w:tc>
      </w:tr>
      <w:tr w:rsidR="00723ABA" w:rsidRPr="007457E6" w14:paraId="50109449" w14:textId="77777777" w:rsidTr="00E2589F">
        <w:trPr>
          <w:trHeight w:val="142"/>
        </w:trPr>
        <w:tc>
          <w:tcPr>
            <w:tcW w:w="5524" w:type="dxa"/>
            <w:tcBorders>
              <w:right w:val="nil"/>
            </w:tcBorders>
            <w:tcMar>
              <w:top w:w="57" w:type="dxa"/>
              <w:left w:w="57" w:type="dxa"/>
              <w:bottom w:w="57" w:type="dxa"/>
              <w:right w:w="57" w:type="dxa"/>
            </w:tcMar>
          </w:tcPr>
          <w:p w14:paraId="0987201E" w14:textId="2853FA31" w:rsidR="00723ABA" w:rsidRPr="00625EF8" w:rsidRDefault="0002406C" w:rsidP="00723ABA">
            <w:pPr>
              <w:rPr>
                <w:b/>
              </w:rPr>
            </w:pPr>
            <w:r w:rsidRPr="00625EF8">
              <w:rPr>
                <w:b/>
              </w:rPr>
              <w:t>EDUC76 - -</w:t>
            </w:r>
            <w:r w:rsidR="00723ABA" w:rsidRPr="00625EF8">
              <w:rPr>
                <w:b/>
              </w:rPr>
              <w:tab/>
            </w:r>
            <w:r w:rsidR="00723ABA" w:rsidRPr="00BE72FF">
              <w:rPr>
                <w:bCs/>
                <w:i/>
                <w:iCs/>
                <w:sz w:val="18"/>
                <w:szCs w:val="18"/>
              </w:rPr>
              <w:t>Curriculum Studies Course</w:t>
            </w:r>
            <w:r w:rsidR="0052789E" w:rsidRPr="00BE72FF">
              <w:rPr>
                <w:bCs/>
                <w:i/>
                <w:iCs/>
                <w:sz w:val="18"/>
                <w:szCs w:val="18"/>
              </w:rPr>
              <w:t xml:space="preserve"> *</w:t>
            </w:r>
          </w:p>
        </w:tc>
        <w:tc>
          <w:tcPr>
            <w:tcW w:w="850" w:type="dxa"/>
            <w:tcBorders>
              <w:left w:val="nil"/>
            </w:tcBorders>
          </w:tcPr>
          <w:p w14:paraId="1FE7E2F0" w14:textId="06A05D1D" w:rsidR="00723ABA" w:rsidRPr="007457E6" w:rsidRDefault="00723ABA" w:rsidP="00723ABA">
            <w:pPr>
              <w:ind w:left="57"/>
              <w:rPr>
                <w:bCs/>
              </w:rPr>
            </w:pPr>
            <w:r>
              <w:rPr>
                <w:bCs/>
              </w:rPr>
              <w:t>2 units</w:t>
            </w:r>
          </w:p>
        </w:tc>
        <w:sdt>
          <w:sdtPr>
            <w:rPr>
              <w:bCs/>
              <w:color w:val="3A332E" w:themeColor="background2" w:themeShade="40"/>
            </w:rPr>
            <w:id w:val="-930502436"/>
            <w:placeholder>
              <w:docPart w:val="DefaultPlaceholder_-1854013440"/>
            </w:placeholder>
            <w:showingPlcHdr/>
          </w:sdtPr>
          <w:sdtContent>
            <w:tc>
              <w:tcPr>
                <w:tcW w:w="2835" w:type="dxa"/>
                <w:tcBorders>
                  <w:right w:val="single" w:sz="4" w:space="0" w:color="auto"/>
                </w:tcBorders>
              </w:tcPr>
              <w:p w14:paraId="1DF9C1F8" w14:textId="3AC6E30E" w:rsidR="00723ABA" w:rsidRPr="007F080C" w:rsidRDefault="00DC3982" w:rsidP="00723ABA">
                <w:pPr>
                  <w:ind w:left="57"/>
                  <w:rPr>
                    <w:bCs/>
                    <w:color w:val="3A332E" w:themeColor="background2" w:themeShade="40"/>
                  </w:rPr>
                </w:pPr>
                <w:r w:rsidRPr="007A49A6">
                  <w:rPr>
                    <w:rStyle w:val="PlaceholderText"/>
                  </w:rPr>
                  <w:t>Click or tap here to enter text.</w:t>
                </w:r>
              </w:p>
            </w:tc>
          </w:sdtContent>
        </w:sdt>
        <w:tc>
          <w:tcPr>
            <w:tcW w:w="851" w:type="dxa"/>
            <w:tcBorders>
              <w:left w:val="single" w:sz="4" w:space="0" w:color="auto"/>
            </w:tcBorders>
          </w:tcPr>
          <w:p w14:paraId="11930417" w14:textId="159BD1CA"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r w:rsidR="00723ABA" w:rsidRPr="007457E6" w14:paraId="30340F34" w14:textId="77777777" w:rsidTr="00591331">
        <w:trPr>
          <w:trHeight w:val="142"/>
        </w:trPr>
        <w:tc>
          <w:tcPr>
            <w:tcW w:w="10060" w:type="dxa"/>
            <w:gridSpan w:val="4"/>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723ABA" w:rsidRPr="00625EF8" w:rsidRDefault="00723ABA" w:rsidP="00723ABA">
            <w:pPr>
              <w:ind w:left="57"/>
              <w:rPr>
                <w:b/>
                <w:bCs/>
              </w:rPr>
            </w:pPr>
            <w:r w:rsidRPr="00625EF8">
              <w:t>4</w:t>
            </w:r>
            <w:r w:rsidRPr="00625EF8">
              <w:rPr>
                <w:vertAlign w:val="superscript"/>
              </w:rPr>
              <w:t>th</w:t>
            </w:r>
            <w:r w:rsidRPr="00625EF8">
              <w:t xml:space="preserve"> Semester</w:t>
            </w:r>
            <w:r w:rsidRPr="00625EF8">
              <w:rPr>
                <w:b/>
                <w:bCs/>
              </w:rPr>
              <w:t xml:space="preserve"> </w:t>
            </w:r>
            <w:r w:rsidRPr="00625EF8">
              <w:rPr>
                <w:i/>
                <w:iCs/>
                <w:sz w:val="18"/>
                <w:szCs w:val="18"/>
              </w:rPr>
              <w:t>(</w:t>
            </w:r>
            <w:r w:rsidRPr="00625EF8">
              <w:rPr>
                <w:rFonts w:ascii="Arial" w:hAnsi="Arial" w:cs="Arial"/>
                <w:i/>
                <w:iCs/>
                <w:sz w:val="18"/>
                <w:szCs w:val="18"/>
              </w:rPr>
              <w:t>Jul – Nov</w:t>
            </w:r>
            <w:r w:rsidRPr="00625EF8">
              <w:rPr>
                <w:i/>
                <w:iCs/>
                <w:sz w:val="18"/>
                <w:szCs w:val="18"/>
              </w:rPr>
              <w:t>)</w:t>
            </w:r>
            <w:r w:rsidRPr="00625EF8">
              <w:rPr>
                <w:b/>
                <w:bCs/>
              </w:rPr>
              <w:t xml:space="preserve"> </w:t>
            </w:r>
            <w:r w:rsidRPr="00625EF8">
              <w:rPr>
                <w:b/>
                <w:bCs/>
              </w:rPr>
              <w:tab/>
            </w:r>
            <w:r w:rsidRPr="00625EF8">
              <w:rPr>
                <w:b/>
                <w:bCs/>
              </w:rPr>
              <w:tab/>
            </w:r>
            <w:r w:rsidRPr="00625EF8">
              <w:rPr>
                <w:b/>
                <w:bCs/>
              </w:rPr>
              <w:tab/>
            </w:r>
            <w:r w:rsidRPr="00625EF8">
              <w:rPr>
                <w:color w:val="51247A" w:themeColor="accent1"/>
              </w:rPr>
              <w:t>Semester 2</w:t>
            </w:r>
          </w:p>
        </w:tc>
      </w:tr>
      <w:tr w:rsidR="00723ABA" w:rsidRPr="007457E6" w14:paraId="027FF1E1" w14:textId="77777777" w:rsidTr="00E2589F">
        <w:trPr>
          <w:trHeight w:val="142"/>
        </w:trPr>
        <w:tc>
          <w:tcPr>
            <w:tcW w:w="5524" w:type="dxa"/>
            <w:tcBorders>
              <w:bottom w:val="nil"/>
              <w:right w:val="nil"/>
            </w:tcBorders>
            <w:tcMar>
              <w:top w:w="57" w:type="dxa"/>
              <w:left w:w="57" w:type="dxa"/>
              <w:bottom w:w="57" w:type="dxa"/>
              <w:right w:w="57" w:type="dxa"/>
            </w:tcMar>
          </w:tcPr>
          <w:p w14:paraId="27EEB7EE" w14:textId="7799BF4F" w:rsidR="00723ABA" w:rsidRPr="00625EF8" w:rsidRDefault="00723ABA" w:rsidP="00723ABA">
            <w:pPr>
              <w:rPr>
                <w:b/>
              </w:rPr>
            </w:pPr>
            <w:r w:rsidRPr="00625EF8">
              <w:rPr>
                <w:b/>
              </w:rPr>
              <w:t>EDUC7607</w:t>
            </w:r>
            <w:r w:rsidRPr="00625EF8">
              <w:rPr>
                <w:b/>
              </w:rPr>
              <w:tab/>
            </w:r>
            <w:r w:rsidR="00BE72FF" w:rsidRPr="00BE72FF">
              <w:rPr>
                <w:bCs/>
                <w:sz w:val="18"/>
                <w:szCs w:val="18"/>
              </w:rPr>
              <w:t>Assessment for Teaching and Learning</w:t>
            </w:r>
            <w:r w:rsidRPr="00625EF8">
              <w:t xml:space="preserve">   </w:t>
            </w:r>
          </w:p>
        </w:tc>
        <w:tc>
          <w:tcPr>
            <w:tcW w:w="850" w:type="dxa"/>
            <w:tcBorders>
              <w:left w:val="nil"/>
              <w:bottom w:val="nil"/>
            </w:tcBorders>
          </w:tcPr>
          <w:p w14:paraId="0C12EE38" w14:textId="1880738D" w:rsidR="00723ABA" w:rsidRDefault="00723ABA" w:rsidP="00723ABA">
            <w:pPr>
              <w:ind w:left="57"/>
              <w:rPr>
                <w:bCs/>
              </w:rPr>
            </w:pPr>
            <w:r>
              <w:rPr>
                <w:bCs/>
              </w:rPr>
              <w:t>2 units</w:t>
            </w:r>
          </w:p>
        </w:tc>
        <w:tc>
          <w:tcPr>
            <w:tcW w:w="2835" w:type="dxa"/>
            <w:tcBorders>
              <w:bottom w:val="single" w:sz="4" w:space="0" w:color="auto"/>
              <w:right w:val="single" w:sz="4" w:space="0" w:color="auto"/>
            </w:tcBorders>
          </w:tcPr>
          <w:p w14:paraId="4D499C21" w14:textId="12DDB4E1" w:rsidR="00723ABA" w:rsidRPr="00591331" w:rsidRDefault="00723ABA" w:rsidP="00723ABA">
            <w:pPr>
              <w:tabs>
                <w:tab w:val="center" w:pos="1953"/>
              </w:tabs>
              <w:ind w:left="57"/>
              <w:rPr>
                <w:bCs/>
                <w:color w:val="3A332E" w:themeColor="background2" w:themeShade="40"/>
              </w:rPr>
            </w:pPr>
            <w:r w:rsidRPr="00591331">
              <w:rPr>
                <w:bCs/>
                <w:color w:val="3A332E" w:themeColor="background2" w:themeShade="40"/>
              </w:rPr>
              <w:t>EDUC7</w:t>
            </w:r>
            <w:r>
              <w:rPr>
                <w:bCs/>
                <w:color w:val="3A332E" w:themeColor="background2" w:themeShade="40"/>
              </w:rPr>
              <w:t>607</w:t>
            </w:r>
          </w:p>
        </w:tc>
        <w:tc>
          <w:tcPr>
            <w:tcW w:w="851" w:type="dxa"/>
            <w:tcBorders>
              <w:left w:val="single" w:sz="4" w:space="0" w:color="auto"/>
              <w:bottom w:val="single" w:sz="4" w:space="0" w:color="auto"/>
            </w:tcBorders>
          </w:tcPr>
          <w:p w14:paraId="1BF78A43" w14:textId="5E70C83F" w:rsidR="00723ABA" w:rsidRDefault="00723ABA" w:rsidP="00723ABA">
            <w:pPr>
              <w:ind w:left="57"/>
              <w:rPr>
                <w:bCs/>
                <w:color w:val="3A332E" w:themeColor="background2" w:themeShade="40"/>
              </w:rPr>
            </w:pPr>
            <w:r>
              <w:rPr>
                <w:bCs/>
                <w:color w:val="3A332E" w:themeColor="background2" w:themeShade="40"/>
              </w:rPr>
              <w:t>2 units</w:t>
            </w:r>
          </w:p>
        </w:tc>
      </w:tr>
      <w:tr w:rsidR="00581765" w:rsidRPr="007457E6" w14:paraId="76B7A4D6" w14:textId="77777777" w:rsidTr="00EF374B">
        <w:trPr>
          <w:trHeight w:val="142"/>
        </w:trPr>
        <w:tc>
          <w:tcPr>
            <w:tcW w:w="5524" w:type="dxa"/>
            <w:tcBorders>
              <w:bottom w:val="nil"/>
              <w:right w:val="nil"/>
            </w:tcBorders>
            <w:tcMar>
              <w:top w:w="57" w:type="dxa"/>
              <w:left w:w="57" w:type="dxa"/>
              <w:bottom w:w="57" w:type="dxa"/>
              <w:right w:w="57" w:type="dxa"/>
            </w:tcMar>
          </w:tcPr>
          <w:p w14:paraId="0A64E81B" w14:textId="55229930" w:rsidR="00581765" w:rsidRPr="00625EF8" w:rsidRDefault="00581765" w:rsidP="00723ABA">
            <w:pPr>
              <w:rPr>
                <w:b/>
              </w:rPr>
            </w:pPr>
            <w:r w:rsidRPr="00625EF8">
              <w:rPr>
                <w:b/>
              </w:rPr>
              <w:t>EDUC7625</w:t>
            </w:r>
            <w:r w:rsidRPr="00625EF8">
              <w:rPr>
                <w:b/>
              </w:rPr>
              <w:tab/>
            </w:r>
            <w:r w:rsidR="00BE72FF" w:rsidRPr="00BE72FF">
              <w:rPr>
                <w:bCs/>
                <w:sz w:val="18"/>
                <w:szCs w:val="18"/>
              </w:rPr>
              <w:t>Achieving Professional Engagement</w:t>
            </w:r>
            <w:r w:rsidRPr="00625EF8">
              <w:t xml:space="preserve">   </w:t>
            </w:r>
          </w:p>
        </w:tc>
        <w:tc>
          <w:tcPr>
            <w:tcW w:w="850" w:type="dxa"/>
            <w:tcBorders>
              <w:left w:val="nil"/>
              <w:bottom w:val="nil"/>
            </w:tcBorders>
          </w:tcPr>
          <w:p w14:paraId="5C2917D8" w14:textId="3537DA81" w:rsidR="00581765" w:rsidRPr="007457E6" w:rsidRDefault="00581765" w:rsidP="00723ABA">
            <w:pPr>
              <w:ind w:left="57"/>
              <w:rPr>
                <w:bCs/>
              </w:rPr>
            </w:pPr>
            <w:r>
              <w:rPr>
                <w:bCs/>
              </w:rPr>
              <w:t>2 units</w:t>
            </w:r>
          </w:p>
        </w:tc>
        <w:tc>
          <w:tcPr>
            <w:tcW w:w="2835" w:type="dxa"/>
            <w:vMerge w:val="restart"/>
            <w:tcBorders>
              <w:right w:val="single" w:sz="4" w:space="0" w:color="auto"/>
            </w:tcBorders>
          </w:tcPr>
          <w:p w14:paraId="2F84909D" w14:textId="61CBA338" w:rsidR="00581765" w:rsidRPr="007F080C" w:rsidRDefault="00581765" w:rsidP="00723ABA">
            <w:pPr>
              <w:tabs>
                <w:tab w:val="center" w:pos="1953"/>
              </w:tabs>
              <w:ind w:left="57"/>
              <w:rPr>
                <w:bCs/>
                <w:color w:val="3A332E" w:themeColor="background2" w:themeShade="40"/>
              </w:rPr>
            </w:pPr>
            <w:r w:rsidRPr="00591331">
              <w:rPr>
                <w:bCs/>
                <w:color w:val="3A332E" w:themeColor="background2" w:themeShade="40"/>
              </w:rPr>
              <w:t>EDUC7</w:t>
            </w:r>
            <w:r>
              <w:rPr>
                <w:bCs/>
                <w:color w:val="3A332E" w:themeColor="background2" w:themeShade="40"/>
              </w:rPr>
              <w:t>625</w:t>
            </w:r>
          </w:p>
        </w:tc>
        <w:tc>
          <w:tcPr>
            <w:tcW w:w="851" w:type="dxa"/>
            <w:vMerge w:val="restart"/>
            <w:tcBorders>
              <w:left w:val="single" w:sz="4" w:space="0" w:color="auto"/>
            </w:tcBorders>
          </w:tcPr>
          <w:p w14:paraId="0BAC9408" w14:textId="648D4CAF" w:rsidR="00581765" w:rsidRPr="007F080C" w:rsidRDefault="00581765" w:rsidP="00723ABA">
            <w:pPr>
              <w:ind w:left="57"/>
              <w:rPr>
                <w:bCs/>
                <w:color w:val="3A332E" w:themeColor="background2" w:themeShade="40"/>
              </w:rPr>
            </w:pPr>
            <w:r>
              <w:rPr>
                <w:bCs/>
                <w:color w:val="3A332E" w:themeColor="background2" w:themeShade="40"/>
              </w:rPr>
              <w:t>2 units</w:t>
            </w:r>
          </w:p>
        </w:tc>
      </w:tr>
      <w:tr w:rsidR="00581765" w:rsidRPr="007457E6" w14:paraId="0DC9FEDA" w14:textId="77777777" w:rsidTr="00EF374B">
        <w:trPr>
          <w:trHeight w:val="142"/>
        </w:trPr>
        <w:tc>
          <w:tcPr>
            <w:tcW w:w="6374" w:type="dxa"/>
            <w:gridSpan w:val="2"/>
            <w:tcBorders>
              <w:top w:val="nil"/>
            </w:tcBorders>
            <w:tcMar>
              <w:top w:w="57" w:type="dxa"/>
              <w:left w:w="57" w:type="dxa"/>
              <w:bottom w:w="57" w:type="dxa"/>
              <w:right w:w="57" w:type="dxa"/>
            </w:tcMar>
          </w:tcPr>
          <w:p w14:paraId="77781AB2" w14:textId="58FC0791" w:rsidR="00581765" w:rsidRPr="007457E6" w:rsidRDefault="00581765" w:rsidP="00723ABA">
            <w:pPr>
              <w:ind w:left="1492"/>
              <w:rPr>
                <w:bCs/>
              </w:rPr>
            </w:pPr>
            <w:r w:rsidRPr="001C342E">
              <w:rPr>
                <w:bCs/>
                <w:i/>
                <w:iCs/>
                <w:sz w:val="16"/>
                <w:szCs w:val="18"/>
              </w:rPr>
              <w:t xml:space="preserve">includes </w:t>
            </w:r>
            <w:r w:rsidR="00625EF8">
              <w:rPr>
                <w:bCs/>
                <w:i/>
                <w:iCs/>
                <w:sz w:val="16"/>
                <w:szCs w:val="18"/>
              </w:rPr>
              <w:t>25</w:t>
            </w:r>
            <w:r w:rsidRPr="001C342E">
              <w:rPr>
                <w:bCs/>
                <w:i/>
                <w:iCs/>
                <w:sz w:val="16"/>
                <w:szCs w:val="18"/>
              </w:rPr>
              <w:t xml:space="preserve"> days of professional experience (</w:t>
            </w:r>
            <w:proofErr w:type="gramStart"/>
            <w:r w:rsidR="00625EF8">
              <w:rPr>
                <w:bCs/>
                <w:i/>
                <w:iCs/>
                <w:sz w:val="16"/>
                <w:szCs w:val="18"/>
              </w:rPr>
              <w:t>five</w:t>
            </w:r>
            <w:r w:rsidRPr="001C342E">
              <w:rPr>
                <w:bCs/>
                <w:i/>
                <w:iCs/>
                <w:sz w:val="16"/>
                <w:szCs w:val="18"/>
              </w:rPr>
              <w:t xml:space="preserve"> week</w:t>
            </w:r>
            <w:proofErr w:type="gramEnd"/>
            <w:r w:rsidRPr="001C342E">
              <w:rPr>
                <w:bCs/>
                <w:i/>
                <w:iCs/>
                <w:sz w:val="16"/>
                <w:szCs w:val="18"/>
              </w:rPr>
              <w:t xml:space="preserve"> block)</w:t>
            </w:r>
          </w:p>
        </w:tc>
        <w:tc>
          <w:tcPr>
            <w:tcW w:w="2835" w:type="dxa"/>
            <w:vMerge/>
            <w:tcBorders>
              <w:right w:val="single" w:sz="4" w:space="0" w:color="auto"/>
            </w:tcBorders>
          </w:tcPr>
          <w:p w14:paraId="55A50397" w14:textId="159BE6D5" w:rsidR="00581765" w:rsidRPr="007F080C" w:rsidRDefault="00581765" w:rsidP="00723ABA">
            <w:pPr>
              <w:tabs>
                <w:tab w:val="center" w:pos="1953"/>
              </w:tabs>
              <w:ind w:left="57"/>
              <w:rPr>
                <w:bCs/>
                <w:color w:val="3A332E" w:themeColor="background2" w:themeShade="40"/>
              </w:rPr>
            </w:pPr>
          </w:p>
        </w:tc>
        <w:tc>
          <w:tcPr>
            <w:tcW w:w="851" w:type="dxa"/>
            <w:vMerge/>
            <w:tcBorders>
              <w:left w:val="single" w:sz="4" w:space="0" w:color="auto"/>
            </w:tcBorders>
          </w:tcPr>
          <w:p w14:paraId="3687AB79" w14:textId="2BDD24BE" w:rsidR="00581765" w:rsidRPr="007F080C" w:rsidRDefault="00581765" w:rsidP="00723ABA">
            <w:pPr>
              <w:ind w:left="57"/>
              <w:rPr>
                <w:bCs/>
                <w:color w:val="3A332E" w:themeColor="background2" w:themeShade="40"/>
              </w:rPr>
            </w:pPr>
          </w:p>
        </w:tc>
      </w:tr>
      <w:tr w:rsidR="00723ABA" w:rsidRPr="007457E6" w14:paraId="7B473D37" w14:textId="77777777" w:rsidTr="00E2589F">
        <w:trPr>
          <w:trHeight w:val="142"/>
        </w:trPr>
        <w:tc>
          <w:tcPr>
            <w:tcW w:w="5524" w:type="dxa"/>
            <w:tcBorders>
              <w:bottom w:val="single" w:sz="4" w:space="0" w:color="auto"/>
              <w:right w:val="nil"/>
            </w:tcBorders>
            <w:tcMar>
              <w:top w:w="57" w:type="dxa"/>
              <w:left w:w="57" w:type="dxa"/>
              <w:bottom w:w="57" w:type="dxa"/>
              <w:right w:w="57" w:type="dxa"/>
            </w:tcMar>
          </w:tcPr>
          <w:p w14:paraId="61156C8E" w14:textId="207ED989" w:rsidR="00723ABA" w:rsidRPr="007457E6" w:rsidRDefault="0002406C" w:rsidP="00723ABA">
            <w:pPr>
              <w:rPr>
                <w:bCs/>
              </w:rPr>
            </w:pPr>
            <w:r>
              <w:rPr>
                <w:b/>
              </w:rPr>
              <w:t>EDUC76 - -</w:t>
            </w:r>
            <w:r w:rsidR="00723ABA">
              <w:rPr>
                <w:b/>
              </w:rPr>
              <w:tab/>
            </w:r>
            <w:r w:rsidR="00723ABA" w:rsidRPr="00BE72FF">
              <w:rPr>
                <w:bCs/>
                <w:i/>
                <w:iCs/>
                <w:sz w:val="18"/>
                <w:szCs w:val="20"/>
              </w:rPr>
              <w:t>Curriculum Studies Course</w:t>
            </w:r>
            <w:r w:rsidR="0052789E" w:rsidRPr="00BE72FF">
              <w:rPr>
                <w:bCs/>
                <w:i/>
                <w:iCs/>
                <w:sz w:val="18"/>
                <w:szCs w:val="20"/>
              </w:rPr>
              <w:t xml:space="preserve"> *</w:t>
            </w:r>
          </w:p>
        </w:tc>
        <w:tc>
          <w:tcPr>
            <w:tcW w:w="850" w:type="dxa"/>
            <w:tcBorders>
              <w:left w:val="nil"/>
              <w:bottom w:val="single" w:sz="4" w:space="0" w:color="auto"/>
            </w:tcBorders>
          </w:tcPr>
          <w:p w14:paraId="0DF25FD3" w14:textId="4EDB774A" w:rsidR="00723ABA" w:rsidRPr="007457E6" w:rsidRDefault="00723ABA" w:rsidP="00723ABA">
            <w:pPr>
              <w:ind w:left="57"/>
              <w:rPr>
                <w:bCs/>
              </w:rPr>
            </w:pPr>
            <w:r w:rsidRPr="007F080C">
              <w:rPr>
                <w:bCs/>
                <w:color w:val="3A332E" w:themeColor="background2" w:themeShade="40"/>
              </w:rPr>
              <w:t>2 units</w:t>
            </w:r>
          </w:p>
        </w:tc>
        <w:sdt>
          <w:sdtPr>
            <w:rPr>
              <w:bCs/>
              <w:color w:val="3A332E" w:themeColor="background2" w:themeShade="40"/>
            </w:rPr>
            <w:id w:val="-1335749122"/>
            <w:placeholder>
              <w:docPart w:val="DefaultPlaceholder_-1854013440"/>
            </w:placeholder>
            <w:showingPlcHdr/>
          </w:sdtPr>
          <w:sdtContent>
            <w:tc>
              <w:tcPr>
                <w:tcW w:w="2835" w:type="dxa"/>
                <w:tcBorders>
                  <w:bottom w:val="single" w:sz="4" w:space="0" w:color="auto"/>
                  <w:right w:val="single" w:sz="4" w:space="0" w:color="auto"/>
                </w:tcBorders>
              </w:tcPr>
              <w:p w14:paraId="2652EC22" w14:textId="049A22F0" w:rsidR="00723ABA" w:rsidRPr="007F080C" w:rsidRDefault="00DC3982" w:rsidP="00723ABA">
                <w:pPr>
                  <w:ind w:left="57"/>
                  <w:rPr>
                    <w:bCs/>
                    <w:color w:val="3A332E" w:themeColor="background2" w:themeShade="40"/>
                  </w:rPr>
                </w:pPr>
                <w:r w:rsidRPr="007A49A6">
                  <w:rPr>
                    <w:rStyle w:val="PlaceholderText"/>
                  </w:rPr>
                  <w:t>Click or tap here to enter text.</w:t>
                </w:r>
              </w:p>
            </w:tc>
          </w:sdtContent>
        </w:sdt>
        <w:tc>
          <w:tcPr>
            <w:tcW w:w="851" w:type="dxa"/>
            <w:tcBorders>
              <w:left w:val="single" w:sz="4" w:space="0" w:color="auto"/>
              <w:bottom w:val="single" w:sz="4" w:space="0" w:color="auto"/>
            </w:tcBorders>
          </w:tcPr>
          <w:p w14:paraId="56399CF5" w14:textId="15CBDD2B"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r w:rsidR="00723ABA" w:rsidRPr="007457E6" w14:paraId="5D62D178" w14:textId="77777777" w:rsidTr="00E2589F">
        <w:trPr>
          <w:trHeight w:val="142"/>
        </w:trPr>
        <w:tc>
          <w:tcPr>
            <w:tcW w:w="5524" w:type="dxa"/>
            <w:tcBorders>
              <w:right w:val="nil"/>
            </w:tcBorders>
            <w:tcMar>
              <w:top w:w="57" w:type="dxa"/>
              <w:left w:w="57" w:type="dxa"/>
              <w:bottom w:w="57" w:type="dxa"/>
              <w:right w:w="57" w:type="dxa"/>
            </w:tcMar>
          </w:tcPr>
          <w:p w14:paraId="77045B7E" w14:textId="79EE020F" w:rsidR="00723ABA" w:rsidRPr="007457E6" w:rsidRDefault="0002406C" w:rsidP="00723ABA">
            <w:pPr>
              <w:rPr>
                <w:bCs/>
              </w:rPr>
            </w:pPr>
            <w:r>
              <w:rPr>
                <w:b/>
              </w:rPr>
              <w:t>EDUC76 - -</w:t>
            </w:r>
            <w:r w:rsidR="00723ABA">
              <w:rPr>
                <w:b/>
              </w:rPr>
              <w:tab/>
            </w:r>
            <w:r w:rsidR="00723ABA" w:rsidRPr="00BE72FF">
              <w:rPr>
                <w:bCs/>
                <w:i/>
                <w:iCs/>
                <w:sz w:val="18"/>
                <w:szCs w:val="20"/>
              </w:rPr>
              <w:t>Curriculum Studies Course</w:t>
            </w:r>
            <w:r w:rsidR="0052789E" w:rsidRPr="00BE72FF">
              <w:rPr>
                <w:bCs/>
                <w:i/>
                <w:iCs/>
                <w:sz w:val="18"/>
                <w:szCs w:val="20"/>
              </w:rPr>
              <w:t xml:space="preserve"> *</w:t>
            </w:r>
          </w:p>
        </w:tc>
        <w:tc>
          <w:tcPr>
            <w:tcW w:w="850" w:type="dxa"/>
            <w:tcBorders>
              <w:left w:val="nil"/>
            </w:tcBorders>
          </w:tcPr>
          <w:p w14:paraId="7D36DBFE" w14:textId="547C4160" w:rsidR="00723ABA" w:rsidRPr="007457E6" w:rsidRDefault="00723ABA" w:rsidP="00723ABA">
            <w:pPr>
              <w:ind w:left="57"/>
              <w:rPr>
                <w:bCs/>
              </w:rPr>
            </w:pPr>
            <w:r w:rsidRPr="007F080C">
              <w:rPr>
                <w:bCs/>
                <w:color w:val="3A332E" w:themeColor="background2" w:themeShade="40"/>
              </w:rPr>
              <w:t>2 units</w:t>
            </w:r>
          </w:p>
        </w:tc>
        <w:sdt>
          <w:sdtPr>
            <w:rPr>
              <w:bCs/>
              <w:color w:val="3A332E" w:themeColor="background2" w:themeShade="40"/>
            </w:rPr>
            <w:id w:val="-2004423794"/>
            <w:placeholder>
              <w:docPart w:val="DefaultPlaceholder_-1854013440"/>
            </w:placeholder>
            <w:showingPlcHdr/>
          </w:sdtPr>
          <w:sdtContent>
            <w:tc>
              <w:tcPr>
                <w:tcW w:w="2835" w:type="dxa"/>
                <w:tcBorders>
                  <w:right w:val="single" w:sz="4" w:space="0" w:color="auto"/>
                </w:tcBorders>
              </w:tcPr>
              <w:p w14:paraId="3CA29CC7" w14:textId="10C7E170" w:rsidR="00723ABA" w:rsidRPr="007F080C" w:rsidRDefault="00DC3982" w:rsidP="00723ABA">
                <w:pPr>
                  <w:ind w:left="57"/>
                  <w:rPr>
                    <w:bCs/>
                    <w:color w:val="3A332E" w:themeColor="background2" w:themeShade="40"/>
                  </w:rPr>
                </w:pPr>
                <w:r w:rsidRPr="007A49A6">
                  <w:rPr>
                    <w:rStyle w:val="PlaceholderText"/>
                  </w:rPr>
                  <w:t>Click or tap here to enter text.</w:t>
                </w:r>
              </w:p>
            </w:tc>
          </w:sdtContent>
        </w:sdt>
        <w:tc>
          <w:tcPr>
            <w:tcW w:w="851" w:type="dxa"/>
            <w:tcBorders>
              <w:left w:val="single" w:sz="4" w:space="0" w:color="auto"/>
            </w:tcBorders>
          </w:tcPr>
          <w:p w14:paraId="456561B9" w14:textId="48F08998" w:rsidR="00723ABA" w:rsidRPr="007F080C" w:rsidRDefault="00723ABA" w:rsidP="00723ABA">
            <w:pPr>
              <w:ind w:left="57"/>
              <w:rPr>
                <w:bCs/>
                <w:color w:val="3A332E" w:themeColor="background2" w:themeShade="40"/>
              </w:rPr>
            </w:pPr>
            <w:r w:rsidRPr="007F080C">
              <w:rPr>
                <w:bCs/>
                <w:color w:val="3A332E" w:themeColor="background2" w:themeShade="40"/>
              </w:rPr>
              <w:t>2 units</w:t>
            </w:r>
          </w:p>
        </w:tc>
      </w:tr>
    </w:tbl>
    <w:p w14:paraId="67FF521E" w14:textId="77777777" w:rsidR="00136C61" w:rsidRPr="0052789E" w:rsidRDefault="00136C61" w:rsidP="005D561D">
      <w:pPr>
        <w:spacing w:before="40" w:after="40"/>
        <w:rPr>
          <w:i/>
          <w:iCs/>
          <w:sz w:val="18"/>
          <w:szCs w:val="18"/>
        </w:rPr>
      </w:pPr>
    </w:p>
    <w:p w14:paraId="22B140DF" w14:textId="787275DE" w:rsidR="0052789E" w:rsidRPr="0052789E" w:rsidRDefault="0052789E" w:rsidP="005D561D">
      <w:pPr>
        <w:spacing w:before="40" w:after="40"/>
        <w:rPr>
          <w:i/>
          <w:iCs/>
          <w:sz w:val="18"/>
          <w:szCs w:val="18"/>
        </w:rPr>
      </w:pPr>
      <w:r w:rsidRPr="0052789E">
        <w:rPr>
          <w:i/>
          <w:iCs/>
          <w:sz w:val="18"/>
          <w:szCs w:val="18"/>
        </w:rPr>
        <w:t>* Student</w:t>
      </w:r>
      <w:r>
        <w:rPr>
          <w:i/>
          <w:iCs/>
          <w:sz w:val="18"/>
          <w:szCs w:val="18"/>
        </w:rPr>
        <w:t>s must enrol in the curriculum studies courses for the</w:t>
      </w:r>
      <w:r w:rsidR="00DB20FC">
        <w:rPr>
          <w:i/>
          <w:iCs/>
          <w:sz w:val="18"/>
          <w:szCs w:val="18"/>
        </w:rPr>
        <w:t xml:space="preserve"> two</w:t>
      </w:r>
      <w:r>
        <w:rPr>
          <w:i/>
          <w:iCs/>
          <w:sz w:val="18"/>
          <w:szCs w:val="18"/>
        </w:rPr>
        <w:t xml:space="preserve"> teaching areas which they have been approved for. </w:t>
      </w:r>
    </w:p>
    <w:sectPr w:rsidR="0052789E" w:rsidRPr="0052789E" w:rsidSect="00744517">
      <w:headerReference w:type="default" r:id="rId12"/>
      <w:footerReference w:type="default" r:id="rId13"/>
      <w:headerReference w:type="first" r:id="rId14"/>
      <w:footerReference w:type="first" r:id="rId15"/>
      <w:pgSz w:w="11906" w:h="16838" w:code="9"/>
      <w:pgMar w:top="-890" w:right="851"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6DC75357" w:rsidR="007B0BBA" w:rsidRDefault="00FB0CBE" w:rsidP="007B0BBA">
    <w:pPr>
      <w:pStyle w:val="Header"/>
      <w:jc w:val="right"/>
    </w:pPr>
    <w:r>
      <w:rPr>
        <w:noProof/>
        <w:lang w:eastAsia="en-AU"/>
      </w:rPr>
      <w:drawing>
        <wp:anchor distT="0" distB="0" distL="114300" distR="114300" simplePos="0" relativeHeight="251663360" behindDoc="1" locked="0" layoutInCell="1" allowOverlap="1" wp14:anchorId="3067129B" wp14:editId="2AD60F00">
          <wp:simplePos x="0" y="0"/>
          <wp:positionH relativeFrom="column">
            <wp:posOffset>-527050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27" name="Picture 2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14" w:rsidRPr="00B66710">
      <w:rPr>
        <w:noProof/>
        <w:lang w:eastAsia="en-AU"/>
      </w:rPr>
      <mc:AlternateContent>
        <mc:Choice Requires="wps">
          <w:drawing>
            <wp:anchor distT="0" distB="0" distL="114300" distR="114300" simplePos="0" relativeHeight="251665408" behindDoc="0" locked="0" layoutInCell="1" allowOverlap="1" wp14:anchorId="3241EEC0" wp14:editId="48B2D231">
              <wp:simplePos x="0" y="0"/>
              <wp:positionH relativeFrom="column">
                <wp:posOffset>-167640</wp:posOffset>
              </wp:positionH>
              <wp:positionV relativeFrom="paragraph">
                <wp:posOffset>-321945</wp:posOffset>
              </wp:positionV>
              <wp:extent cx="5454015" cy="1266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266825"/>
                      </a:xfrm>
                      <a:prstGeom prst="rect">
                        <a:avLst/>
                      </a:prstGeom>
                      <a:noFill/>
                      <a:ln w="6350">
                        <a:noFill/>
                      </a:ln>
                    </wps:spPr>
                    <wps:txbx>
                      <w:txbxContent>
                        <w:p w14:paraId="35D53FDB" w14:textId="2A56C0AC"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237662">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18844BEA" w14:textId="77777777" w:rsidR="00A50822" w:rsidRDefault="00803314" w:rsidP="00FB0CBE">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7143B8">
                            <w:rPr>
                              <w:rFonts w:ascii="Arial" w:hAnsi="Arial" w:cs="Arial"/>
                              <w:b/>
                              <w:color w:val="FFFFFF" w:themeColor="background1"/>
                              <w:sz w:val="32"/>
                              <w:szCs w:val="32"/>
                            </w:rPr>
                            <w:t xml:space="preserve">Master </w:t>
                          </w:r>
                          <w:r w:rsidRPr="00FB0CBE">
                            <w:rPr>
                              <w:rFonts w:ascii="Arial" w:hAnsi="Arial" w:cs="Arial"/>
                              <w:b/>
                              <w:color w:val="FFFFFF" w:themeColor="background1"/>
                              <w:sz w:val="32"/>
                              <w:szCs w:val="32"/>
                            </w:rPr>
                            <w:t xml:space="preserve">of </w:t>
                          </w:r>
                          <w:r w:rsidR="007143B8">
                            <w:rPr>
                              <w:rFonts w:ascii="Arial" w:hAnsi="Arial" w:cs="Arial"/>
                              <w:b/>
                              <w:color w:val="FFFFFF" w:themeColor="background1"/>
                              <w:sz w:val="32"/>
                              <w:szCs w:val="32"/>
                            </w:rPr>
                            <w:t>Teaching (</w:t>
                          </w:r>
                          <w:r w:rsidR="00154025">
                            <w:rPr>
                              <w:rFonts w:ascii="Arial" w:hAnsi="Arial" w:cs="Arial"/>
                              <w:b/>
                              <w:color w:val="FFFFFF" w:themeColor="background1"/>
                              <w:sz w:val="32"/>
                              <w:szCs w:val="32"/>
                            </w:rPr>
                            <w:t>Secondary</w:t>
                          </w:r>
                          <w:r w:rsidR="007143B8">
                            <w:rPr>
                              <w:rFonts w:ascii="Arial" w:hAnsi="Arial" w:cs="Arial"/>
                              <w:b/>
                              <w:color w:val="FFFFFF" w:themeColor="background1"/>
                              <w:sz w:val="32"/>
                              <w:szCs w:val="32"/>
                            </w:rPr>
                            <w:t xml:space="preserve">) </w:t>
                          </w:r>
                        </w:p>
                        <w:p w14:paraId="3E44D5C3" w14:textId="69DE843F" w:rsidR="00FB0CBE" w:rsidRPr="007143B8" w:rsidRDefault="00803314" w:rsidP="00FB0CBE">
                          <w:pPr>
                            <w:spacing w:before="40" w:after="40"/>
                            <w:ind w:left="-142"/>
                            <w:rPr>
                              <w:rFonts w:ascii="Arial" w:hAnsi="Arial" w:cs="Arial"/>
                              <w:b/>
                              <w:color w:val="FFFFFF" w:themeColor="background1"/>
                              <w:sz w:val="24"/>
                              <w:szCs w:val="24"/>
                            </w:rPr>
                          </w:pPr>
                          <w:r w:rsidRPr="00A50822">
                            <w:rPr>
                              <w:rFonts w:ascii="Arial" w:hAnsi="Arial" w:cs="Arial"/>
                              <w:b/>
                              <w:color w:val="FFFFFF" w:themeColor="background1"/>
                              <w:sz w:val="32"/>
                              <w:szCs w:val="32"/>
                            </w:rPr>
                            <w:t>(</w:t>
                          </w:r>
                          <w:proofErr w:type="spellStart"/>
                          <w:r w:rsidR="007143B8" w:rsidRPr="00A50822">
                            <w:rPr>
                              <w:rFonts w:ascii="Arial" w:hAnsi="Arial" w:cs="Arial"/>
                              <w:b/>
                              <w:color w:val="FFFFFF" w:themeColor="background1"/>
                              <w:sz w:val="32"/>
                              <w:szCs w:val="32"/>
                            </w:rPr>
                            <w:t>MTeach</w:t>
                          </w:r>
                          <w:proofErr w:type="spellEnd"/>
                          <w:r w:rsidR="007143B8" w:rsidRPr="00A50822">
                            <w:rPr>
                              <w:rFonts w:ascii="Arial" w:hAnsi="Arial" w:cs="Arial"/>
                              <w:b/>
                              <w:color w:val="FFFFFF" w:themeColor="background1"/>
                              <w:sz w:val="32"/>
                              <w:szCs w:val="32"/>
                            </w:rPr>
                            <w:t>(</w:t>
                          </w:r>
                          <w:r w:rsidR="00154025" w:rsidRPr="00A50822">
                            <w:rPr>
                              <w:rFonts w:ascii="Arial" w:hAnsi="Arial" w:cs="Arial"/>
                              <w:b/>
                              <w:color w:val="FFFFFF" w:themeColor="background1"/>
                              <w:sz w:val="32"/>
                              <w:szCs w:val="32"/>
                            </w:rPr>
                            <w:t>Sec</w:t>
                          </w:r>
                          <w:r w:rsidR="007143B8" w:rsidRPr="00A50822">
                            <w:rPr>
                              <w:rFonts w:ascii="Arial" w:hAnsi="Arial" w:cs="Arial"/>
                              <w:b/>
                              <w:color w:val="FFFFFF" w:themeColor="background1"/>
                              <w:sz w:val="32"/>
                              <w:szCs w:val="32"/>
                            </w:rPr>
                            <w:t>)</w:t>
                          </w:r>
                          <w:r w:rsidRPr="00A50822">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2pt;margin-top:-25.35pt;width:429.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pe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ls/SLKeEYyybzuc30z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" filled="f" stroked="f" strokeweight=".5pt">
              <v:textbox>
                <w:txbxContent>
                  <w:p w14:paraId="35D53FDB" w14:textId="2A56C0AC"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237662">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18844BEA" w14:textId="77777777" w:rsidR="00A50822" w:rsidRDefault="00803314" w:rsidP="00FB0CBE">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7143B8">
                      <w:rPr>
                        <w:rFonts w:ascii="Arial" w:hAnsi="Arial" w:cs="Arial"/>
                        <w:b/>
                        <w:color w:val="FFFFFF" w:themeColor="background1"/>
                        <w:sz w:val="32"/>
                        <w:szCs w:val="32"/>
                      </w:rPr>
                      <w:t xml:space="preserve">Master </w:t>
                    </w:r>
                    <w:r w:rsidRPr="00FB0CBE">
                      <w:rPr>
                        <w:rFonts w:ascii="Arial" w:hAnsi="Arial" w:cs="Arial"/>
                        <w:b/>
                        <w:color w:val="FFFFFF" w:themeColor="background1"/>
                        <w:sz w:val="32"/>
                        <w:szCs w:val="32"/>
                      </w:rPr>
                      <w:t xml:space="preserve">of </w:t>
                    </w:r>
                    <w:r w:rsidR="007143B8">
                      <w:rPr>
                        <w:rFonts w:ascii="Arial" w:hAnsi="Arial" w:cs="Arial"/>
                        <w:b/>
                        <w:color w:val="FFFFFF" w:themeColor="background1"/>
                        <w:sz w:val="32"/>
                        <w:szCs w:val="32"/>
                      </w:rPr>
                      <w:t>Teaching (</w:t>
                    </w:r>
                    <w:r w:rsidR="00154025">
                      <w:rPr>
                        <w:rFonts w:ascii="Arial" w:hAnsi="Arial" w:cs="Arial"/>
                        <w:b/>
                        <w:color w:val="FFFFFF" w:themeColor="background1"/>
                        <w:sz w:val="32"/>
                        <w:szCs w:val="32"/>
                      </w:rPr>
                      <w:t>Secondary</w:t>
                    </w:r>
                    <w:r w:rsidR="007143B8">
                      <w:rPr>
                        <w:rFonts w:ascii="Arial" w:hAnsi="Arial" w:cs="Arial"/>
                        <w:b/>
                        <w:color w:val="FFFFFF" w:themeColor="background1"/>
                        <w:sz w:val="32"/>
                        <w:szCs w:val="32"/>
                      </w:rPr>
                      <w:t xml:space="preserve">) </w:t>
                    </w:r>
                  </w:p>
                  <w:p w14:paraId="3E44D5C3" w14:textId="69DE843F" w:rsidR="00FB0CBE" w:rsidRPr="007143B8" w:rsidRDefault="00803314" w:rsidP="00FB0CBE">
                    <w:pPr>
                      <w:spacing w:before="40" w:after="40"/>
                      <w:ind w:left="-142"/>
                      <w:rPr>
                        <w:rFonts w:ascii="Arial" w:hAnsi="Arial" w:cs="Arial"/>
                        <w:b/>
                        <w:color w:val="FFFFFF" w:themeColor="background1"/>
                        <w:sz w:val="24"/>
                        <w:szCs w:val="24"/>
                      </w:rPr>
                    </w:pPr>
                    <w:r w:rsidRPr="00A50822">
                      <w:rPr>
                        <w:rFonts w:ascii="Arial" w:hAnsi="Arial" w:cs="Arial"/>
                        <w:b/>
                        <w:color w:val="FFFFFF" w:themeColor="background1"/>
                        <w:sz w:val="32"/>
                        <w:szCs w:val="32"/>
                      </w:rPr>
                      <w:t>(</w:t>
                    </w:r>
                    <w:proofErr w:type="spellStart"/>
                    <w:r w:rsidR="007143B8" w:rsidRPr="00A50822">
                      <w:rPr>
                        <w:rFonts w:ascii="Arial" w:hAnsi="Arial" w:cs="Arial"/>
                        <w:b/>
                        <w:color w:val="FFFFFF" w:themeColor="background1"/>
                        <w:sz w:val="32"/>
                        <w:szCs w:val="32"/>
                      </w:rPr>
                      <w:t>MTeach</w:t>
                    </w:r>
                    <w:proofErr w:type="spellEnd"/>
                    <w:r w:rsidR="007143B8" w:rsidRPr="00A50822">
                      <w:rPr>
                        <w:rFonts w:ascii="Arial" w:hAnsi="Arial" w:cs="Arial"/>
                        <w:b/>
                        <w:color w:val="FFFFFF" w:themeColor="background1"/>
                        <w:sz w:val="32"/>
                        <w:szCs w:val="32"/>
                      </w:rPr>
                      <w:t>(</w:t>
                    </w:r>
                    <w:r w:rsidR="00154025" w:rsidRPr="00A50822">
                      <w:rPr>
                        <w:rFonts w:ascii="Arial" w:hAnsi="Arial" w:cs="Arial"/>
                        <w:b/>
                        <w:color w:val="FFFFFF" w:themeColor="background1"/>
                        <w:sz w:val="32"/>
                        <w:szCs w:val="32"/>
                      </w:rPr>
                      <w:t>Sec</w:t>
                    </w:r>
                    <w:r w:rsidR="007143B8" w:rsidRPr="00A50822">
                      <w:rPr>
                        <w:rFonts w:ascii="Arial" w:hAnsi="Arial" w:cs="Arial"/>
                        <w:b/>
                        <w:color w:val="FFFFFF" w:themeColor="background1"/>
                        <w:sz w:val="32"/>
                        <w:szCs w:val="32"/>
                      </w:rPr>
                      <w:t>)</w:t>
                    </w:r>
                    <w:r w:rsidRPr="00A50822">
                      <w:rPr>
                        <w:rFonts w:ascii="Arial" w:hAnsi="Arial" w:cs="Arial"/>
                        <w:b/>
                        <w:color w:val="FFFFFF" w:themeColor="background1"/>
                        <w:sz w:val="32"/>
                        <w:szCs w:val="32"/>
                      </w:rPr>
                      <w:t>)</w:t>
                    </w:r>
                    <w:r w:rsidRPr="007143B8">
                      <w:rPr>
                        <w:rFonts w:ascii="Arial" w:hAnsi="Arial" w:cs="Arial"/>
                        <w:b/>
                        <w:color w:val="FFFFFF" w:themeColor="background1"/>
                        <w:sz w:val="24"/>
                        <w:szCs w:val="24"/>
                      </w:rPr>
                      <w:t xml:space="preserve"> </w:t>
                    </w:r>
                  </w:p>
                </w:txbxContent>
              </v:textbox>
            </v:shape>
          </w:pict>
        </mc:Fallback>
      </mc:AlternateContent>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jjzO5Vrajn/rZI0XodpO3MRyDrA4ByemyZrqtmw7ryPxo2Uip2PN7kHN1FRd45Ce8A5OihFKxDElxWSlktpfDA==" w:salt="AD7I4CfUlKVONjHtzwe1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1EEA"/>
    <w:rsid w:val="00010E2E"/>
    <w:rsid w:val="00012303"/>
    <w:rsid w:val="00015B3C"/>
    <w:rsid w:val="00021AFB"/>
    <w:rsid w:val="0002406C"/>
    <w:rsid w:val="00026499"/>
    <w:rsid w:val="000300D4"/>
    <w:rsid w:val="0003026B"/>
    <w:rsid w:val="0004002F"/>
    <w:rsid w:val="00042F74"/>
    <w:rsid w:val="00054EC7"/>
    <w:rsid w:val="00080841"/>
    <w:rsid w:val="00081225"/>
    <w:rsid w:val="00081246"/>
    <w:rsid w:val="00086547"/>
    <w:rsid w:val="00087151"/>
    <w:rsid w:val="0009444D"/>
    <w:rsid w:val="000A3C8F"/>
    <w:rsid w:val="000A5228"/>
    <w:rsid w:val="000A7AFE"/>
    <w:rsid w:val="000B0EFB"/>
    <w:rsid w:val="000B294E"/>
    <w:rsid w:val="000B2B6C"/>
    <w:rsid w:val="000B3E75"/>
    <w:rsid w:val="000C40C3"/>
    <w:rsid w:val="000C5887"/>
    <w:rsid w:val="000C6739"/>
    <w:rsid w:val="000D24E7"/>
    <w:rsid w:val="000E0282"/>
    <w:rsid w:val="000E7FDD"/>
    <w:rsid w:val="0010010E"/>
    <w:rsid w:val="00101389"/>
    <w:rsid w:val="00112B3D"/>
    <w:rsid w:val="00122277"/>
    <w:rsid w:val="00127E49"/>
    <w:rsid w:val="00136C61"/>
    <w:rsid w:val="00151915"/>
    <w:rsid w:val="00154025"/>
    <w:rsid w:val="00154242"/>
    <w:rsid w:val="0016241C"/>
    <w:rsid w:val="00164062"/>
    <w:rsid w:val="00173AC4"/>
    <w:rsid w:val="001741BF"/>
    <w:rsid w:val="0017710E"/>
    <w:rsid w:val="00193459"/>
    <w:rsid w:val="001949EC"/>
    <w:rsid w:val="00196C64"/>
    <w:rsid w:val="001A0D51"/>
    <w:rsid w:val="001A3B7E"/>
    <w:rsid w:val="001B0AB5"/>
    <w:rsid w:val="001B6A57"/>
    <w:rsid w:val="001B7608"/>
    <w:rsid w:val="001C342E"/>
    <w:rsid w:val="001D001C"/>
    <w:rsid w:val="001D3B4A"/>
    <w:rsid w:val="001E2535"/>
    <w:rsid w:val="001E28A1"/>
    <w:rsid w:val="001E544B"/>
    <w:rsid w:val="001F11CD"/>
    <w:rsid w:val="001F61A9"/>
    <w:rsid w:val="001F6E5C"/>
    <w:rsid w:val="002142AC"/>
    <w:rsid w:val="00220B91"/>
    <w:rsid w:val="00220EDA"/>
    <w:rsid w:val="0022298B"/>
    <w:rsid w:val="00225119"/>
    <w:rsid w:val="00231C5B"/>
    <w:rsid w:val="00233F3D"/>
    <w:rsid w:val="00237662"/>
    <w:rsid w:val="00241DF1"/>
    <w:rsid w:val="00242398"/>
    <w:rsid w:val="002442C8"/>
    <w:rsid w:val="002450E7"/>
    <w:rsid w:val="0026105D"/>
    <w:rsid w:val="002769C0"/>
    <w:rsid w:val="00282E8C"/>
    <w:rsid w:val="00287293"/>
    <w:rsid w:val="00292EDB"/>
    <w:rsid w:val="002B298A"/>
    <w:rsid w:val="002B29BC"/>
    <w:rsid w:val="002B3429"/>
    <w:rsid w:val="002C6194"/>
    <w:rsid w:val="002C7E5C"/>
    <w:rsid w:val="002D73F6"/>
    <w:rsid w:val="002E0C95"/>
    <w:rsid w:val="002F612F"/>
    <w:rsid w:val="00305B6C"/>
    <w:rsid w:val="00310B79"/>
    <w:rsid w:val="0033054B"/>
    <w:rsid w:val="003356B2"/>
    <w:rsid w:val="00335C49"/>
    <w:rsid w:val="00336242"/>
    <w:rsid w:val="00351130"/>
    <w:rsid w:val="003620AD"/>
    <w:rsid w:val="00397B51"/>
    <w:rsid w:val="003A50C3"/>
    <w:rsid w:val="003B6429"/>
    <w:rsid w:val="003D2D2E"/>
    <w:rsid w:val="003E015F"/>
    <w:rsid w:val="003E178B"/>
    <w:rsid w:val="003E5DAE"/>
    <w:rsid w:val="003E5F21"/>
    <w:rsid w:val="003F1555"/>
    <w:rsid w:val="003F2C6B"/>
    <w:rsid w:val="00404789"/>
    <w:rsid w:val="00404E91"/>
    <w:rsid w:val="004118E4"/>
    <w:rsid w:val="00412A8E"/>
    <w:rsid w:val="00416FF4"/>
    <w:rsid w:val="004306EF"/>
    <w:rsid w:val="004363CA"/>
    <w:rsid w:val="004372FB"/>
    <w:rsid w:val="004447F4"/>
    <w:rsid w:val="00444A0D"/>
    <w:rsid w:val="00445521"/>
    <w:rsid w:val="00450872"/>
    <w:rsid w:val="00463D08"/>
    <w:rsid w:val="00466DA3"/>
    <w:rsid w:val="00470EAB"/>
    <w:rsid w:val="004713C5"/>
    <w:rsid w:val="0047564C"/>
    <w:rsid w:val="00482FF8"/>
    <w:rsid w:val="004972A0"/>
    <w:rsid w:val="004A63CC"/>
    <w:rsid w:val="004B1B02"/>
    <w:rsid w:val="004B7C68"/>
    <w:rsid w:val="004F017A"/>
    <w:rsid w:val="004F1E7D"/>
    <w:rsid w:val="004F66C6"/>
    <w:rsid w:val="0050144A"/>
    <w:rsid w:val="0050399C"/>
    <w:rsid w:val="005125C1"/>
    <w:rsid w:val="00525774"/>
    <w:rsid w:val="005266EB"/>
    <w:rsid w:val="0052789E"/>
    <w:rsid w:val="00531F57"/>
    <w:rsid w:val="00566C1F"/>
    <w:rsid w:val="00576D68"/>
    <w:rsid w:val="00580EC3"/>
    <w:rsid w:val="0058166A"/>
    <w:rsid w:val="00581765"/>
    <w:rsid w:val="00583FF5"/>
    <w:rsid w:val="005845EC"/>
    <w:rsid w:val="00584D4D"/>
    <w:rsid w:val="00587B97"/>
    <w:rsid w:val="00591331"/>
    <w:rsid w:val="00595F5A"/>
    <w:rsid w:val="00597A15"/>
    <w:rsid w:val="005A1D27"/>
    <w:rsid w:val="005A4E05"/>
    <w:rsid w:val="005A5AE1"/>
    <w:rsid w:val="005A6CC7"/>
    <w:rsid w:val="005B2F9D"/>
    <w:rsid w:val="005B54F0"/>
    <w:rsid w:val="005C7584"/>
    <w:rsid w:val="005C78EC"/>
    <w:rsid w:val="005D0167"/>
    <w:rsid w:val="005D4250"/>
    <w:rsid w:val="005D561D"/>
    <w:rsid w:val="005D7A5A"/>
    <w:rsid w:val="005E3D68"/>
    <w:rsid w:val="005E7363"/>
    <w:rsid w:val="005F56E3"/>
    <w:rsid w:val="00607222"/>
    <w:rsid w:val="00614669"/>
    <w:rsid w:val="00617A5A"/>
    <w:rsid w:val="00617EC4"/>
    <w:rsid w:val="00622F62"/>
    <w:rsid w:val="00625EF8"/>
    <w:rsid w:val="00634A30"/>
    <w:rsid w:val="00636D66"/>
    <w:rsid w:val="006377A2"/>
    <w:rsid w:val="00640A52"/>
    <w:rsid w:val="00643AFF"/>
    <w:rsid w:val="006506B9"/>
    <w:rsid w:val="00651D71"/>
    <w:rsid w:val="006648C3"/>
    <w:rsid w:val="00667286"/>
    <w:rsid w:val="00670B05"/>
    <w:rsid w:val="00676014"/>
    <w:rsid w:val="006766C3"/>
    <w:rsid w:val="00684298"/>
    <w:rsid w:val="006873AE"/>
    <w:rsid w:val="00691D45"/>
    <w:rsid w:val="006920DB"/>
    <w:rsid w:val="0069508D"/>
    <w:rsid w:val="006A2607"/>
    <w:rsid w:val="006A5BC0"/>
    <w:rsid w:val="006C0E44"/>
    <w:rsid w:val="006C1BFD"/>
    <w:rsid w:val="006D0C27"/>
    <w:rsid w:val="006D508D"/>
    <w:rsid w:val="006E71A4"/>
    <w:rsid w:val="006F5EF5"/>
    <w:rsid w:val="0071246C"/>
    <w:rsid w:val="00713409"/>
    <w:rsid w:val="007143B8"/>
    <w:rsid w:val="00715A9A"/>
    <w:rsid w:val="00716942"/>
    <w:rsid w:val="00720902"/>
    <w:rsid w:val="00723ABA"/>
    <w:rsid w:val="007243CE"/>
    <w:rsid w:val="0072606A"/>
    <w:rsid w:val="00726A4F"/>
    <w:rsid w:val="00735F26"/>
    <w:rsid w:val="00744517"/>
    <w:rsid w:val="007457E6"/>
    <w:rsid w:val="0076291C"/>
    <w:rsid w:val="00766B7B"/>
    <w:rsid w:val="00774B6E"/>
    <w:rsid w:val="007925D4"/>
    <w:rsid w:val="00795852"/>
    <w:rsid w:val="00795A2F"/>
    <w:rsid w:val="007A09CE"/>
    <w:rsid w:val="007A0DAE"/>
    <w:rsid w:val="007A70F9"/>
    <w:rsid w:val="007B0BBA"/>
    <w:rsid w:val="007B215D"/>
    <w:rsid w:val="007B5CC4"/>
    <w:rsid w:val="007C38B8"/>
    <w:rsid w:val="007D4630"/>
    <w:rsid w:val="007D46AE"/>
    <w:rsid w:val="007E21BE"/>
    <w:rsid w:val="007F080C"/>
    <w:rsid w:val="007F17AC"/>
    <w:rsid w:val="007F1B08"/>
    <w:rsid w:val="007F5557"/>
    <w:rsid w:val="007F649E"/>
    <w:rsid w:val="00803314"/>
    <w:rsid w:val="00811A9C"/>
    <w:rsid w:val="00815DE2"/>
    <w:rsid w:val="00821678"/>
    <w:rsid w:val="008259B7"/>
    <w:rsid w:val="00826A17"/>
    <w:rsid w:val="0083288E"/>
    <w:rsid w:val="00834296"/>
    <w:rsid w:val="00862690"/>
    <w:rsid w:val="00874CC4"/>
    <w:rsid w:val="00876805"/>
    <w:rsid w:val="00881A64"/>
    <w:rsid w:val="00882359"/>
    <w:rsid w:val="00895C4B"/>
    <w:rsid w:val="008B0D7D"/>
    <w:rsid w:val="008B48CF"/>
    <w:rsid w:val="008E16F0"/>
    <w:rsid w:val="008E2EA4"/>
    <w:rsid w:val="009020E1"/>
    <w:rsid w:val="00903591"/>
    <w:rsid w:val="009076D0"/>
    <w:rsid w:val="00915A5D"/>
    <w:rsid w:val="00915EE2"/>
    <w:rsid w:val="00917563"/>
    <w:rsid w:val="009212B7"/>
    <w:rsid w:val="00930228"/>
    <w:rsid w:val="00944DDB"/>
    <w:rsid w:val="0095516F"/>
    <w:rsid w:val="00965EDD"/>
    <w:rsid w:val="0097075E"/>
    <w:rsid w:val="00970867"/>
    <w:rsid w:val="009750B9"/>
    <w:rsid w:val="009774DC"/>
    <w:rsid w:val="009A1E11"/>
    <w:rsid w:val="009A2EA9"/>
    <w:rsid w:val="009C006F"/>
    <w:rsid w:val="009D6143"/>
    <w:rsid w:val="009D7F71"/>
    <w:rsid w:val="009E12AD"/>
    <w:rsid w:val="009E3486"/>
    <w:rsid w:val="009E3FDE"/>
    <w:rsid w:val="009E6379"/>
    <w:rsid w:val="009F3689"/>
    <w:rsid w:val="009F3881"/>
    <w:rsid w:val="009F6F35"/>
    <w:rsid w:val="00A01855"/>
    <w:rsid w:val="00A1219F"/>
    <w:rsid w:val="00A12421"/>
    <w:rsid w:val="00A218F1"/>
    <w:rsid w:val="00A30371"/>
    <w:rsid w:val="00A30C1C"/>
    <w:rsid w:val="00A34437"/>
    <w:rsid w:val="00A50822"/>
    <w:rsid w:val="00A54AFE"/>
    <w:rsid w:val="00A54E87"/>
    <w:rsid w:val="00A57394"/>
    <w:rsid w:val="00A774FB"/>
    <w:rsid w:val="00A77D53"/>
    <w:rsid w:val="00A902D6"/>
    <w:rsid w:val="00A9227E"/>
    <w:rsid w:val="00AA3DA0"/>
    <w:rsid w:val="00AB560F"/>
    <w:rsid w:val="00AB6E37"/>
    <w:rsid w:val="00AB7A89"/>
    <w:rsid w:val="00AC193C"/>
    <w:rsid w:val="00AC4DC6"/>
    <w:rsid w:val="00AE34ED"/>
    <w:rsid w:val="00AE7D65"/>
    <w:rsid w:val="00AF003D"/>
    <w:rsid w:val="00AF0CBE"/>
    <w:rsid w:val="00AF3A54"/>
    <w:rsid w:val="00AF3D10"/>
    <w:rsid w:val="00AF76AD"/>
    <w:rsid w:val="00B025B0"/>
    <w:rsid w:val="00B02B29"/>
    <w:rsid w:val="00B042DF"/>
    <w:rsid w:val="00B13955"/>
    <w:rsid w:val="00B170EA"/>
    <w:rsid w:val="00B41D99"/>
    <w:rsid w:val="00B41FB0"/>
    <w:rsid w:val="00B447F9"/>
    <w:rsid w:val="00B473B6"/>
    <w:rsid w:val="00B50B8E"/>
    <w:rsid w:val="00B51F89"/>
    <w:rsid w:val="00B63E1F"/>
    <w:rsid w:val="00B66FC8"/>
    <w:rsid w:val="00B71EAE"/>
    <w:rsid w:val="00B742E4"/>
    <w:rsid w:val="00B75D4E"/>
    <w:rsid w:val="00B772D6"/>
    <w:rsid w:val="00B82783"/>
    <w:rsid w:val="00B94F75"/>
    <w:rsid w:val="00BA4749"/>
    <w:rsid w:val="00BB4C19"/>
    <w:rsid w:val="00BC0E71"/>
    <w:rsid w:val="00BD25AF"/>
    <w:rsid w:val="00BE0430"/>
    <w:rsid w:val="00BE112C"/>
    <w:rsid w:val="00BE72FF"/>
    <w:rsid w:val="00BF0E93"/>
    <w:rsid w:val="00BF22A9"/>
    <w:rsid w:val="00BF57A9"/>
    <w:rsid w:val="00C02E01"/>
    <w:rsid w:val="00C0664B"/>
    <w:rsid w:val="00C075DF"/>
    <w:rsid w:val="00C1539B"/>
    <w:rsid w:val="00C156F1"/>
    <w:rsid w:val="00C20C17"/>
    <w:rsid w:val="00C2121B"/>
    <w:rsid w:val="00C23D46"/>
    <w:rsid w:val="00C327A2"/>
    <w:rsid w:val="00C33B32"/>
    <w:rsid w:val="00C474B7"/>
    <w:rsid w:val="00C517CB"/>
    <w:rsid w:val="00C555F6"/>
    <w:rsid w:val="00C60B9A"/>
    <w:rsid w:val="00C7208B"/>
    <w:rsid w:val="00C733AD"/>
    <w:rsid w:val="00C85004"/>
    <w:rsid w:val="00C9108B"/>
    <w:rsid w:val="00C960ED"/>
    <w:rsid w:val="00CA4414"/>
    <w:rsid w:val="00CA4DCB"/>
    <w:rsid w:val="00CA63F6"/>
    <w:rsid w:val="00CB381C"/>
    <w:rsid w:val="00CB654D"/>
    <w:rsid w:val="00CC2122"/>
    <w:rsid w:val="00CC3A45"/>
    <w:rsid w:val="00CC4BCB"/>
    <w:rsid w:val="00CC572B"/>
    <w:rsid w:val="00CE7A06"/>
    <w:rsid w:val="00CF2D45"/>
    <w:rsid w:val="00D04F7D"/>
    <w:rsid w:val="00D13C7F"/>
    <w:rsid w:val="00D16935"/>
    <w:rsid w:val="00D233B4"/>
    <w:rsid w:val="00D24C0D"/>
    <w:rsid w:val="00D32971"/>
    <w:rsid w:val="00D43C3A"/>
    <w:rsid w:val="00D61A20"/>
    <w:rsid w:val="00D6634A"/>
    <w:rsid w:val="00D815CB"/>
    <w:rsid w:val="00D8242B"/>
    <w:rsid w:val="00D9321E"/>
    <w:rsid w:val="00D94481"/>
    <w:rsid w:val="00D97D43"/>
    <w:rsid w:val="00DA5594"/>
    <w:rsid w:val="00DA68EF"/>
    <w:rsid w:val="00DB20FC"/>
    <w:rsid w:val="00DC3982"/>
    <w:rsid w:val="00DC42F9"/>
    <w:rsid w:val="00DC54B6"/>
    <w:rsid w:val="00DD0AFE"/>
    <w:rsid w:val="00DD3E52"/>
    <w:rsid w:val="00DD3FBD"/>
    <w:rsid w:val="00DE300C"/>
    <w:rsid w:val="00DF5EA7"/>
    <w:rsid w:val="00E03AF0"/>
    <w:rsid w:val="00E07318"/>
    <w:rsid w:val="00E12698"/>
    <w:rsid w:val="00E14AB6"/>
    <w:rsid w:val="00E161EA"/>
    <w:rsid w:val="00E16DC1"/>
    <w:rsid w:val="00E226C7"/>
    <w:rsid w:val="00E2589F"/>
    <w:rsid w:val="00E30993"/>
    <w:rsid w:val="00E32EBD"/>
    <w:rsid w:val="00E34452"/>
    <w:rsid w:val="00E37D89"/>
    <w:rsid w:val="00E50D1C"/>
    <w:rsid w:val="00E53D4F"/>
    <w:rsid w:val="00E55CF5"/>
    <w:rsid w:val="00E60F47"/>
    <w:rsid w:val="00E7261C"/>
    <w:rsid w:val="00E77EBA"/>
    <w:rsid w:val="00E87A8D"/>
    <w:rsid w:val="00E963F5"/>
    <w:rsid w:val="00EA0D21"/>
    <w:rsid w:val="00EC1887"/>
    <w:rsid w:val="00ED2094"/>
    <w:rsid w:val="00ED561D"/>
    <w:rsid w:val="00ED6941"/>
    <w:rsid w:val="00EE473C"/>
    <w:rsid w:val="00EE5EC9"/>
    <w:rsid w:val="00EE6FA3"/>
    <w:rsid w:val="00EE77BB"/>
    <w:rsid w:val="00F01E1E"/>
    <w:rsid w:val="00F1012D"/>
    <w:rsid w:val="00F154CA"/>
    <w:rsid w:val="00F23611"/>
    <w:rsid w:val="00F34820"/>
    <w:rsid w:val="00F37ED1"/>
    <w:rsid w:val="00F4114D"/>
    <w:rsid w:val="00F420BD"/>
    <w:rsid w:val="00F4312A"/>
    <w:rsid w:val="00F47C31"/>
    <w:rsid w:val="00F55B05"/>
    <w:rsid w:val="00F64FEC"/>
    <w:rsid w:val="00F66105"/>
    <w:rsid w:val="00F745F2"/>
    <w:rsid w:val="00F77373"/>
    <w:rsid w:val="00F8449D"/>
    <w:rsid w:val="00F87B71"/>
    <w:rsid w:val="00F90EF1"/>
    <w:rsid w:val="00FA138D"/>
    <w:rsid w:val="00FA183A"/>
    <w:rsid w:val="00FA3E63"/>
    <w:rsid w:val="00FA5054"/>
    <w:rsid w:val="00FB0CBE"/>
    <w:rsid w:val="00FB3F55"/>
    <w:rsid w:val="00FB49E5"/>
    <w:rsid w:val="00FB55C4"/>
    <w:rsid w:val="00FC0BC3"/>
    <w:rsid w:val="00FD1621"/>
    <w:rsid w:val="00FD4B1E"/>
    <w:rsid w:val="00FD507A"/>
    <w:rsid w:val="00FD6125"/>
    <w:rsid w:val="00FD6F68"/>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teaching-secondary-568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685/2026" TargetMode="External"/><Relationship Id="rId4" Type="http://schemas.openxmlformats.org/officeDocument/2006/relationships/settings" Target="settings.xml"/><Relationship Id="rId9" Type="http://schemas.openxmlformats.org/officeDocument/2006/relationships/hyperlink" Target="https://programs-courses.uq.edu.au/requirements/program/5685/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3D807E-951E-4FBB-A92B-D6A3477374F9}"/>
      </w:docPartPr>
      <w:docPartBody>
        <w:p w:rsidR="00584AB3" w:rsidRDefault="00584AB3">
          <w:r w:rsidRPr="007A49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B3"/>
    <w:rsid w:val="00584AB3"/>
    <w:rsid w:val="00E50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A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7</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Jessica Holland</cp:lastModifiedBy>
  <cp:revision>3</cp:revision>
  <cp:lastPrinted>2025-04-02T23:15:00Z</cp:lastPrinted>
  <dcterms:created xsi:type="dcterms:W3CDTF">2026-01-21T03:57:00Z</dcterms:created>
  <dcterms:modified xsi:type="dcterms:W3CDTF">2026-01-28T01:05:00Z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ies>
</file>